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2566" w14:textId="77F53E0D" w:rsidR="00222E64" w:rsidRDefault="00222E64" w:rsidP="00222E64">
      <w:pPr>
        <w:spacing w:after="120"/>
        <w:jc w:val="center"/>
        <w:rPr>
          <w:rFonts w:ascii="Arial" w:hAnsi="Arial" w:cs="Arial"/>
          <w:b/>
          <w:sz w:val="32"/>
          <w:szCs w:val="32"/>
        </w:rPr>
      </w:pPr>
      <w:r>
        <w:rPr>
          <w:rFonts w:ascii="Arial" w:hAnsi="Arial" w:cs="Arial"/>
          <w:b/>
          <w:sz w:val="32"/>
          <w:szCs w:val="32"/>
        </w:rPr>
        <w:t xml:space="preserve">       </w:t>
      </w:r>
      <w:r w:rsidR="00621FA6">
        <w:rPr>
          <w:rFonts w:ascii="Arial" w:hAnsi="Arial" w:cs="Arial"/>
          <w:b/>
          <w:sz w:val="32"/>
          <w:szCs w:val="32"/>
        </w:rPr>
        <w:t xml:space="preserve">Domiciliary Care </w:t>
      </w:r>
      <w:r w:rsidR="00CE7D17">
        <w:rPr>
          <w:rFonts w:ascii="Arial" w:hAnsi="Arial" w:cs="Arial"/>
          <w:b/>
          <w:sz w:val="32"/>
          <w:szCs w:val="32"/>
        </w:rPr>
        <w:t xml:space="preserve">and Community Support </w:t>
      </w:r>
      <w:r>
        <w:rPr>
          <w:rFonts w:ascii="Arial" w:hAnsi="Arial" w:cs="Arial"/>
          <w:b/>
          <w:sz w:val="32"/>
          <w:szCs w:val="32"/>
        </w:rPr>
        <w:t xml:space="preserve">Providers </w:t>
      </w:r>
      <w:r w:rsidR="00DC0FCF">
        <w:rPr>
          <w:rFonts w:ascii="Arial" w:hAnsi="Arial" w:cs="Arial"/>
          <w:b/>
          <w:sz w:val="32"/>
          <w:szCs w:val="32"/>
        </w:rPr>
        <w:t xml:space="preserve">(including Direct Payments) </w:t>
      </w:r>
      <w:r>
        <w:rPr>
          <w:rFonts w:ascii="Arial" w:hAnsi="Arial" w:cs="Arial"/>
          <w:b/>
          <w:sz w:val="32"/>
          <w:szCs w:val="32"/>
        </w:rPr>
        <w:t>Fees Consultation 202</w:t>
      </w:r>
      <w:r w:rsidR="0003549D">
        <w:rPr>
          <w:rFonts w:ascii="Arial" w:hAnsi="Arial" w:cs="Arial"/>
          <w:b/>
          <w:sz w:val="32"/>
          <w:szCs w:val="32"/>
        </w:rPr>
        <w:t>2</w:t>
      </w:r>
      <w:r>
        <w:rPr>
          <w:rFonts w:ascii="Arial" w:hAnsi="Arial" w:cs="Arial"/>
          <w:b/>
          <w:sz w:val="32"/>
          <w:szCs w:val="32"/>
        </w:rPr>
        <w:t>/2</w:t>
      </w:r>
      <w:r w:rsidR="0003549D">
        <w:rPr>
          <w:rFonts w:ascii="Arial" w:hAnsi="Arial" w:cs="Arial"/>
          <w:b/>
          <w:sz w:val="32"/>
          <w:szCs w:val="32"/>
        </w:rPr>
        <w:t>3</w:t>
      </w:r>
    </w:p>
    <w:p w14:paraId="0A869AB8" w14:textId="41BEF5B6" w:rsidR="00222E64" w:rsidRDefault="00222E64" w:rsidP="00222E64">
      <w:pPr>
        <w:spacing w:after="120"/>
        <w:jc w:val="center"/>
        <w:rPr>
          <w:rFonts w:ascii="Arial" w:hAnsi="Arial" w:cs="Arial"/>
          <w:b/>
          <w:sz w:val="32"/>
          <w:szCs w:val="32"/>
        </w:rPr>
      </w:pPr>
      <w:r>
        <w:rPr>
          <w:rFonts w:ascii="Arial" w:hAnsi="Arial" w:cs="Arial"/>
          <w:b/>
          <w:sz w:val="32"/>
          <w:szCs w:val="32"/>
        </w:rPr>
        <w:t>Q &amp; A</w:t>
      </w:r>
      <w:r w:rsidR="009A6C47">
        <w:rPr>
          <w:rFonts w:ascii="Arial" w:hAnsi="Arial" w:cs="Arial"/>
          <w:b/>
          <w:sz w:val="32"/>
          <w:szCs w:val="32"/>
        </w:rPr>
        <w:t xml:space="preserve"> </w:t>
      </w:r>
    </w:p>
    <w:tbl>
      <w:tblPr>
        <w:tblStyle w:val="TableGrid"/>
        <w:tblW w:w="9776" w:type="dxa"/>
        <w:jc w:val="center"/>
        <w:tblLayout w:type="fixed"/>
        <w:tblLook w:val="04A0" w:firstRow="1" w:lastRow="0" w:firstColumn="1" w:lastColumn="0" w:noHBand="0" w:noVBand="1"/>
      </w:tblPr>
      <w:tblGrid>
        <w:gridCol w:w="1104"/>
        <w:gridCol w:w="8672"/>
      </w:tblGrid>
      <w:tr w:rsidR="00275493" w:rsidRPr="009E6CC5" w14:paraId="1484ECA3" w14:textId="77777777" w:rsidTr="00275493">
        <w:trPr>
          <w:trHeight w:val="513"/>
          <w:jc w:val="center"/>
        </w:trPr>
        <w:tc>
          <w:tcPr>
            <w:tcW w:w="1104" w:type="dxa"/>
            <w:shd w:val="clear" w:color="auto" w:fill="BFBFBF" w:themeFill="background1" w:themeFillShade="BF"/>
          </w:tcPr>
          <w:p w14:paraId="68EA3518" w14:textId="77777777" w:rsidR="00275493" w:rsidRPr="009E6CC5" w:rsidRDefault="00275493" w:rsidP="003E1E54">
            <w:pPr>
              <w:spacing w:before="120" w:after="120"/>
              <w:jc w:val="center"/>
              <w:rPr>
                <w:rFonts w:ascii="Arial" w:hAnsi="Arial" w:cs="Arial"/>
                <w:b/>
                <w:sz w:val="24"/>
                <w:szCs w:val="24"/>
              </w:rPr>
            </w:pPr>
            <w:r w:rsidRPr="009E6CC5">
              <w:rPr>
                <w:rFonts w:ascii="Arial" w:hAnsi="Arial" w:cs="Arial"/>
                <w:b/>
                <w:sz w:val="24"/>
                <w:szCs w:val="24"/>
              </w:rPr>
              <w:t>No.</w:t>
            </w:r>
          </w:p>
        </w:tc>
        <w:tc>
          <w:tcPr>
            <w:tcW w:w="8672" w:type="dxa"/>
            <w:shd w:val="clear" w:color="auto" w:fill="BFBFBF" w:themeFill="background1" w:themeFillShade="BF"/>
          </w:tcPr>
          <w:p w14:paraId="7C03D905" w14:textId="77777777" w:rsidR="00275493" w:rsidRPr="009E6CC5" w:rsidRDefault="00275493" w:rsidP="003E1E54">
            <w:pPr>
              <w:spacing w:before="120" w:after="120"/>
              <w:jc w:val="center"/>
              <w:rPr>
                <w:rFonts w:ascii="Arial" w:hAnsi="Arial" w:cs="Arial"/>
                <w:b/>
                <w:sz w:val="24"/>
                <w:szCs w:val="24"/>
              </w:rPr>
            </w:pPr>
            <w:r w:rsidRPr="009E6CC5">
              <w:rPr>
                <w:rFonts w:ascii="Arial" w:hAnsi="Arial" w:cs="Arial"/>
                <w:b/>
                <w:sz w:val="24"/>
                <w:szCs w:val="24"/>
              </w:rPr>
              <w:t>Question and Answer</w:t>
            </w:r>
          </w:p>
        </w:tc>
      </w:tr>
      <w:tr w:rsidR="00275493" w:rsidRPr="009E6CC5" w14:paraId="31F4F354" w14:textId="77777777" w:rsidTr="00275493">
        <w:trPr>
          <w:trHeight w:val="1559"/>
          <w:jc w:val="center"/>
        </w:trPr>
        <w:tc>
          <w:tcPr>
            <w:tcW w:w="1104" w:type="dxa"/>
          </w:tcPr>
          <w:p w14:paraId="30FAF7AD" w14:textId="77777777" w:rsidR="00275493" w:rsidRPr="009E6CC5" w:rsidRDefault="00275493" w:rsidP="003E1E54">
            <w:pPr>
              <w:spacing w:before="120" w:after="120"/>
              <w:ind w:left="360"/>
              <w:rPr>
                <w:rFonts w:ascii="Arial" w:hAnsi="Arial" w:cs="Arial"/>
                <w:sz w:val="24"/>
                <w:szCs w:val="24"/>
              </w:rPr>
            </w:pPr>
          </w:p>
          <w:p w14:paraId="26FC862F" w14:textId="5DF737D0" w:rsidR="00275493" w:rsidRPr="009E6CC5" w:rsidRDefault="00275493" w:rsidP="003E1E54">
            <w:pPr>
              <w:spacing w:before="120" w:after="120"/>
              <w:ind w:left="360"/>
              <w:rPr>
                <w:rFonts w:ascii="Arial" w:hAnsi="Arial" w:cs="Arial"/>
                <w:b/>
                <w:bCs/>
                <w:sz w:val="24"/>
                <w:szCs w:val="24"/>
              </w:rPr>
            </w:pPr>
            <w:r w:rsidRPr="009E6CC5">
              <w:rPr>
                <w:rFonts w:ascii="Arial" w:hAnsi="Arial" w:cs="Arial"/>
                <w:b/>
                <w:bCs/>
                <w:sz w:val="24"/>
                <w:szCs w:val="24"/>
              </w:rPr>
              <w:t>1.</w:t>
            </w:r>
          </w:p>
        </w:tc>
        <w:tc>
          <w:tcPr>
            <w:tcW w:w="8672" w:type="dxa"/>
          </w:tcPr>
          <w:p w14:paraId="48FFBFEC" w14:textId="1A9C6227" w:rsidR="00275493" w:rsidRPr="009E6CC5" w:rsidRDefault="00275493" w:rsidP="7FF0CC02">
            <w:pPr>
              <w:spacing w:before="120"/>
              <w:rPr>
                <w:rFonts w:ascii="Arial" w:hAnsi="Arial" w:cs="Arial"/>
                <w:sz w:val="24"/>
                <w:szCs w:val="24"/>
              </w:rPr>
            </w:pPr>
            <w:r w:rsidRPr="009E6CC5">
              <w:rPr>
                <w:rFonts w:ascii="Arial" w:hAnsi="Arial" w:cs="Arial"/>
                <w:b/>
                <w:bCs/>
                <w:sz w:val="24"/>
                <w:szCs w:val="24"/>
              </w:rPr>
              <w:t xml:space="preserve">Q.  </w:t>
            </w:r>
            <w:r w:rsidRPr="009E6CC5">
              <w:rPr>
                <w:rFonts w:ascii="Arial" w:hAnsi="Arial" w:cs="Arial"/>
                <w:sz w:val="24"/>
                <w:szCs w:val="24"/>
              </w:rPr>
              <w:t>Can the presentation be shared after the consultation meeting?</w:t>
            </w:r>
          </w:p>
          <w:p w14:paraId="48601034" w14:textId="12CAAF8A" w:rsidR="00275493" w:rsidRPr="009E6CC5" w:rsidRDefault="00275493" w:rsidP="0003549D">
            <w:pPr>
              <w:spacing w:before="120"/>
              <w:rPr>
                <w:rFonts w:ascii="Arial" w:hAnsi="Arial" w:cs="Arial"/>
                <w:sz w:val="24"/>
                <w:szCs w:val="24"/>
              </w:rPr>
            </w:pPr>
            <w:r w:rsidRPr="009E6CC5">
              <w:rPr>
                <w:rFonts w:ascii="Arial" w:hAnsi="Arial" w:cs="Arial"/>
                <w:b/>
                <w:bCs/>
                <w:sz w:val="24"/>
                <w:szCs w:val="24"/>
              </w:rPr>
              <w:t xml:space="preserve">A. </w:t>
            </w:r>
            <w:r w:rsidRPr="009E6CC5">
              <w:rPr>
                <w:rFonts w:ascii="Arial" w:hAnsi="Arial" w:cs="Arial"/>
                <w:sz w:val="24"/>
                <w:szCs w:val="24"/>
              </w:rPr>
              <w:t xml:space="preserve">Yes, the presentation was shared in advance of the meeting and can be </w:t>
            </w:r>
            <w:r w:rsidR="00B1289B">
              <w:rPr>
                <w:rFonts w:ascii="Arial" w:hAnsi="Arial" w:cs="Arial"/>
                <w:sz w:val="24"/>
                <w:szCs w:val="24"/>
              </w:rPr>
              <w:t>published on the dedicated section for fee consultation on the Sefton website.</w:t>
            </w:r>
          </w:p>
        </w:tc>
      </w:tr>
      <w:tr w:rsidR="00275493" w:rsidRPr="009E6CC5" w14:paraId="72A86917" w14:textId="77777777" w:rsidTr="00275493">
        <w:trPr>
          <w:trHeight w:val="1559"/>
          <w:jc w:val="center"/>
        </w:trPr>
        <w:tc>
          <w:tcPr>
            <w:tcW w:w="1104" w:type="dxa"/>
          </w:tcPr>
          <w:p w14:paraId="1D27BBB4" w14:textId="77777777" w:rsidR="00275493" w:rsidRPr="009E6CC5" w:rsidRDefault="00275493" w:rsidP="003E1E54">
            <w:pPr>
              <w:spacing w:before="120" w:after="120"/>
              <w:ind w:left="360"/>
              <w:rPr>
                <w:rFonts w:ascii="Arial" w:hAnsi="Arial" w:cs="Arial"/>
                <w:sz w:val="24"/>
                <w:szCs w:val="24"/>
              </w:rPr>
            </w:pPr>
          </w:p>
          <w:p w14:paraId="1858A83B" w14:textId="3EC40CB1" w:rsidR="00275493" w:rsidRPr="009E6CC5" w:rsidRDefault="00275493" w:rsidP="003E1E54">
            <w:pPr>
              <w:spacing w:before="120" w:after="120"/>
              <w:ind w:left="360"/>
              <w:rPr>
                <w:rFonts w:ascii="Arial" w:hAnsi="Arial" w:cs="Arial"/>
                <w:b/>
                <w:bCs/>
                <w:sz w:val="24"/>
                <w:szCs w:val="24"/>
              </w:rPr>
            </w:pPr>
            <w:r w:rsidRPr="009E6CC5">
              <w:rPr>
                <w:rFonts w:ascii="Arial" w:hAnsi="Arial" w:cs="Arial"/>
                <w:b/>
                <w:bCs/>
                <w:sz w:val="24"/>
                <w:szCs w:val="24"/>
              </w:rPr>
              <w:t>2.</w:t>
            </w:r>
          </w:p>
        </w:tc>
        <w:tc>
          <w:tcPr>
            <w:tcW w:w="8672" w:type="dxa"/>
          </w:tcPr>
          <w:p w14:paraId="47D9F4BA" w14:textId="1CB01541" w:rsidR="00275493" w:rsidRPr="009E6CC5" w:rsidRDefault="00275493" w:rsidP="7FF0CC02">
            <w:pPr>
              <w:rPr>
                <w:rFonts w:ascii="Arial" w:hAnsi="Arial" w:cs="Arial"/>
                <w:b/>
                <w:bCs/>
                <w:sz w:val="24"/>
                <w:szCs w:val="24"/>
              </w:rPr>
            </w:pPr>
            <w:r w:rsidRPr="009E6CC5">
              <w:rPr>
                <w:rFonts w:ascii="Arial" w:hAnsi="Arial" w:cs="Arial"/>
                <w:b/>
                <w:bCs/>
                <w:sz w:val="24"/>
                <w:szCs w:val="24"/>
              </w:rPr>
              <w:t xml:space="preserve">Q. </w:t>
            </w:r>
            <w:r w:rsidRPr="009E6CC5">
              <w:rPr>
                <w:rFonts w:ascii="Arial" w:hAnsi="Arial" w:cs="Arial"/>
                <w:sz w:val="24"/>
                <w:szCs w:val="24"/>
              </w:rPr>
              <w:t>In terms of Community Support / outreach, what element of calculation do you put in for travel time/costs for staff?</w:t>
            </w:r>
          </w:p>
          <w:p w14:paraId="09D76865" w14:textId="6F16F739" w:rsidR="00275493" w:rsidRPr="009E6CC5" w:rsidRDefault="00275493" w:rsidP="7FF0CC02">
            <w:pPr>
              <w:spacing w:before="120" w:after="120"/>
              <w:rPr>
                <w:rFonts w:ascii="Arial" w:hAnsi="Arial" w:cs="Arial"/>
                <w:b/>
                <w:bCs/>
                <w:sz w:val="24"/>
                <w:szCs w:val="24"/>
              </w:rPr>
            </w:pPr>
            <w:r w:rsidRPr="009E6CC5">
              <w:rPr>
                <w:rFonts w:ascii="Arial" w:hAnsi="Arial" w:cs="Arial"/>
                <w:b/>
                <w:bCs/>
                <w:sz w:val="24"/>
                <w:szCs w:val="24"/>
              </w:rPr>
              <w:t xml:space="preserve">A. </w:t>
            </w:r>
            <w:r w:rsidRPr="009E6CC5">
              <w:rPr>
                <w:rFonts w:ascii="Arial" w:hAnsi="Arial" w:cs="Arial"/>
                <w:sz w:val="24"/>
                <w:szCs w:val="24"/>
              </w:rPr>
              <w:t>The Community Support rate is currently aligned to the Domiciliary Care rate and the travel time is based on 10% of the staff hourly rate. This equates to 6 minutes.</w:t>
            </w:r>
          </w:p>
        </w:tc>
      </w:tr>
      <w:tr w:rsidR="00275493" w:rsidRPr="009E6CC5" w14:paraId="4A894C86" w14:textId="77777777" w:rsidTr="00275493">
        <w:trPr>
          <w:trHeight w:val="1559"/>
          <w:jc w:val="center"/>
        </w:trPr>
        <w:tc>
          <w:tcPr>
            <w:tcW w:w="1104" w:type="dxa"/>
          </w:tcPr>
          <w:p w14:paraId="74BF466C" w14:textId="77777777" w:rsidR="00275493" w:rsidRPr="009E6CC5" w:rsidRDefault="00275493" w:rsidP="003E1E54">
            <w:pPr>
              <w:spacing w:before="120" w:after="120"/>
              <w:ind w:left="360"/>
              <w:rPr>
                <w:rFonts w:ascii="Arial" w:hAnsi="Arial" w:cs="Arial"/>
                <w:sz w:val="24"/>
                <w:szCs w:val="24"/>
              </w:rPr>
            </w:pPr>
          </w:p>
          <w:p w14:paraId="0F68ED15" w14:textId="2C7ECD51" w:rsidR="00275493" w:rsidRPr="009E6CC5" w:rsidRDefault="00275493" w:rsidP="003E1E54">
            <w:pPr>
              <w:spacing w:before="120" w:after="120"/>
              <w:ind w:left="360"/>
              <w:rPr>
                <w:rFonts w:ascii="Arial" w:hAnsi="Arial" w:cs="Arial"/>
                <w:b/>
                <w:bCs/>
                <w:sz w:val="24"/>
                <w:szCs w:val="24"/>
              </w:rPr>
            </w:pPr>
            <w:r w:rsidRPr="009E6CC5">
              <w:rPr>
                <w:rFonts w:ascii="Arial" w:hAnsi="Arial" w:cs="Arial"/>
                <w:b/>
                <w:bCs/>
                <w:sz w:val="24"/>
                <w:szCs w:val="24"/>
              </w:rPr>
              <w:t>3.</w:t>
            </w:r>
          </w:p>
        </w:tc>
        <w:tc>
          <w:tcPr>
            <w:tcW w:w="8672" w:type="dxa"/>
          </w:tcPr>
          <w:p w14:paraId="67CD7D82" w14:textId="2D22A8E0" w:rsidR="00275493" w:rsidRPr="009E6CC5" w:rsidRDefault="00275493" w:rsidP="7FF0CC02">
            <w:pPr>
              <w:spacing w:before="120" w:after="120"/>
              <w:rPr>
                <w:rFonts w:ascii="Arial" w:hAnsi="Arial" w:cs="Arial"/>
                <w:sz w:val="24"/>
                <w:szCs w:val="24"/>
              </w:rPr>
            </w:pPr>
            <w:r w:rsidRPr="009E6CC5">
              <w:rPr>
                <w:rFonts w:ascii="Arial" w:hAnsi="Arial" w:cs="Arial"/>
                <w:b/>
                <w:bCs/>
                <w:sz w:val="24"/>
                <w:szCs w:val="24"/>
              </w:rPr>
              <w:t xml:space="preserve">Q. </w:t>
            </w:r>
            <w:r w:rsidRPr="009E6CC5">
              <w:rPr>
                <w:rFonts w:ascii="Arial" w:hAnsi="Arial" w:cs="Arial"/>
                <w:sz w:val="24"/>
                <w:szCs w:val="24"/>
              </w:rPr>
              <w:t>So, in your modelling you have assumed that the journey time between calls is a 6-minute journey?</w:t>
            </w:r>
          </w:p>
          <w:p w14:paraId="2E2FDE4D" w14:textId="754EDC5B" w:rsidR="00275493" w:rsidRPr="009E6CC5" w:rsidRDefault="00275493" w:rsidP="0003549D">
            <w:pPr>
              <w:spacing w:before="120" w:after="120"/>
              <w:rPr>
                <w:rFonts w:ascii="Arial" w:hAnsi="Arial" w:cs="Arial"/>
                <w:sz w:val="24"/>
                <w:szCs w:val="24"/>
              </w:rPr>
            </w:pPr>
            <w:r w:rsidRPr="009E6CC5">
              <w:rPr>
                <w:rFonts w:ascii="Arial" w:hAnsi="Arial" w:cs="Arial"/>
                <w:b/>
                <w:bCs/>
                <w:sz w:val="24"/>
                <w:szCs w:val="24"/>
              </w:rPr>
              <w:t xml:space="preserve">A. </w:t>
            </w:r>
            <w:r w:rsidRPr="009E6CC5">
              <w:rPr>
                <w:rFonts w:ascii="Arial" w:hAnsi="Arial" w:cs="Arial"/>
                <w:sz w:val="24"/>
                <w:szCs w:val="24"/>
              </w:rPr>
              <w:t>Yes, we have looked at the average based on where the packages of care are geographically delivered and the mileage between calls.</w:t>
            </w:r>
          </w:p>
        </w:tc>
      </w:tr>
      <w:tr w:rsidR="00275493" w:rsidRPr="009E6CC5" w14:paraId="52CFF8B4" w14:textId="77777777" w:rsidTr="00275493">
        <w:trPr>
          <w:trHeight w:val="1559"/>
          <w:jc w:val="center"/>
        </w:trPr>
        <w:tc>
          <w:tcPr>
            <w:tcW w:w="1104" w:type="dxa"/>
          </w:tcPr>
          <w:p w14:paraId="10498F05" w14:textId="77777777" w:rsidR="00275493" w:rsidRPr="009E6CC5" w:rsidRDefault="00275493" w:rsidP="003E1E54">
            <w:pPr>
              <w:spacing w:before="120" w:after="120"/>
              <w:ind w:left="360"/>
              <w:rPr>
                <w:rFonts w:ascii="Arial" w:hAnsi="Arial" w:cs="Arial"/>
                <w:sz w:val="24"/>
                <w:szCs w:val="24"/>
              </w:rPr>
            </w:pPr>
          </w:p>
          <w:p w14:paraId="71005A3A" w14:textId="1870727B" w:rsidR="00275493" w:rsidRPr="009E6CC5" w:rsidRDefault="00275493" w:rsidP="003E1E54">
            <w:pPr>
              <w:spacing w:before="120" w:after="120"/>
              <w:ind w:left="360"/>
              <w:rPr>
                <w:rFonts w:ascii="Arial" w:hAnsi="Arial" w:cs="Arial"/>
                <w:b/>
                <w:bCs/>
                <w:sz w:val="24"/>
                <w:szCs w:val="24"/>
              </w:rPr>
            </w:pPr>
            <w:r w:rsidRPr="009E6CC5">
              <w:rPr>
                <w:rFonts w:ascii="Arial" w:hAnsi="Arial" w:cs="Arial"/>
                <w:b/>
                <w:bCs/>
                <w:sz w:val="24"/>
                <w:szCs w:val="24"/>
              </w:rPr>
              <w:t>4.</w:t>
            </w:r>
          </w:p>
        </w:tc>
        <w:tc>
          <w:tcPr>
            <w:tcW w:w="8672" w:type="dxa"/>
          </w:tcPr>
          <w:p w14:paraId="3BE768E6" w14:textId="30375F2B" w:rsidR="00275493" w:rsidRPr="009E6CC5" w:rsidRDefault="00275493" w:rsidP="7FF0CC02">
            <w:pPr>
              <w:spacing w:before="120" w:after="120"/>
              <w:rPr>
                <w:rFonts w:ascii="Arial" w:hAnsi="Arial" w:cs="Arial"/>
                <w:sz w:val="24"/>
                <w:szCs w:val="24"/>
              </w:rPr>
            </w:pPr>
            <w:r w:rsidRPr="009E6CC5">
              <w:rPr>
                <w:rFonts w:ascii="Arial" w:hAnsi="Arial" w:cs="Arial"/>
                <w:b/>
                <w:bCs/>
                <w:sz w:val="24"/>
                <w:szCs w:val="24"/>
              </w:rPr>
              <w:t xml:space="preserve">Q. </w:t>
            </w:r>
            <w:r w:rsidRPr="009E6CC5">
              <w:rPr>
                <w:rFonts w:ascii="Arial" w:hAnsi="Arial" w:cs="Arial"/>
                <w:sz w:val="24"/>
                <w:szCs w:val="24"/>
              </w:rPr>
              <w:t>Has there been consideration</w:t>
            </w:r>
            <w:r w:rsidR="00FC114E">
              <w:rPr>
                <w:rFonts w:ascii="Arial" w:hAnsi="Arial" w:cs="Arial"/>
                <w:sz w:val="24"/>
                <w:szCs w:val="24"/>
              </w:rPr>
              <w:t>, for the Community Support rate,</w:t>
            </w:r>
            <w:r w:rsidRPr="009E6CC5">
              <w:rPr>
                <w:rFonts w:ascii="Arial" w:hAnsi="Arial" w:cs="Arial"/>
                <w:sz w:val="24"/>
                <w:szCs w:val="24"/>
              </w:rPr>
              <w:t xml:space="preserve"> that the journeys may be longer for the specialist care that takes place over larger geographical areas?</w:t>
            </w:r>
          </w:p>
          <w:p w14:paraId="1BEF424B" w14:textId="7725CAAE" w:rsidR="00275493" w:rsidRPr="009E6CC5" w:rsidRDefault="00275493" w:rsidP="7FF0CC02">
            <w:pPr>
              <w:spacing w:before="120" w:after="120"/>
              <w:rPr>
                <w:rFonts w:ascii="Arial" w:hAnsi="Arial" w:cs="Arial"/>
                <w:b/>
                <w:bCs/>
                <w:sz w:val="24"/>
                <w:szCs w:val="24"/>
                <w:highlight w:val="yellow"/>
              </w:rPr>
            </w:pPr>
            <w:r w:rsidRPr="009E6CC5">
              <w:rPr>
                <w:rFonts w:ascii="Arial" w:hAnsi="Arial" w:cs="Arial"/>
                <w:b/>
                <w:bCs/>
                <w:sz w:val="24"/>
                <w:szCs w:val="24"/>
              </w:rPr>
              <w:t xml:space="preserve">A. </w:t>
            </w:r>
            <w:r w:rsidRPr="009E6CC5">
              <w:rPr>
                <w:rFonts w:ascii="Arial" w:hAnsi="Arial" w:cs="Arial"/>
                <w:sz w:val="24"/>
                <w:szCs w:val="24"/>
              </w:rPr>
              <w:t xml:space="preserve">The </w:t>
            </w:r>
            <w:r>
              <w:rPr>
                <w:rFonts w:ascii="Arial" w:hAnsi="Arial" w:cs="Arial"/>
                <w:sz w:val="24"/>
                <w:szCs w:val="24"/>
              </w:rPr>
              <w:t>rate is currently aligned to the Domiciliary Care rate, however as part of feedback on the proposals Providers may wish to include any information on differences to travel time for Community Support.</w:t>
            </w:r>
          </w:p>
        </w:tc>
      </w:tr>
      <w:tr w:rsidR="00275493" w:rsidRPr="009E6CC5" w14:paraId="44473547" w14:textId="77777777" w:rsidTr="00275493">
        <w:trPr>
          <w:trHeight w:val="1559"/>
          <w:jc w:val="center"/>
        </w:trPr>
        <w:tc>
          <w:tcPr>
            <w:tcW w:w="1104" w:type="dxa"/>
          </w:tcPr>
          <w:p w14:paraId="46D7C295" w14:textId="77777777" w:rsidR="00275493" w:rsidRPr="009E6CC5" w:rsidRDefault="00275493" w:rsidP="007E0B40">
            <w:pPr>
              <w:spacing w:before="120" w:after="120"/>
              <w:jc w:val="center"/>
              <w:rPr>
                <w:rFonts w:ascii="Arial" w:hAnsi="Arial" w:cs="Arial"/>
                <w:sz w:val="24"/>
                <w:szCs w:val="24"/>
              </w:rPr>
            </w:pPr>
          </w:p>
          <w:p w14:paraId="5E50B108" w14:textId="26F451B8" w:rsidR="00275493" w:rsidRPr="009E6CC5" w:rsidRDefault="00275493" w:rsidP="007E0B40">
            <w:pPr>
              <w:spacing w:before="120" w:after="120"/>
              <w:jc w:val="center"/>
              <w:rPr>
                <w:rFonts w:ascii="Arial" w:hAnsi="Arial" w:cs="Arial"/>
                <w:b/>
                <w:bCs/>
                <w:sz w:val="24"/>
                <w:szCs w:val="24"/>
              </w:rPr>
            </w:pPr>
            <w:r w:rsidRPr="009E6CC5">
              <w:rPr>
                <w:rFonts w:ascii="Arial" w:hAnsi="Arial" w:cs="Arial"/>
                <w:b/>
                <w:bCs/>
                <w:sz w:val="24"/>
                <w:szCs w:val="24"/>
              </w:rPr>
              <w:t xml:space="preserve">5. </w:t>
            </w:r>
          </w:p>
        </w:tc>
        <w:tc>
          <w:tcPr>
            <w:tcW w:w="8672" w:type="dxa"/>
          </w:tcPr>
          <w:p w14:paraId="5B9322F7" w14:textId="10C4E67A" w:rsidR="00275493" w:rsidRPr="009E6CC5" w:rsidRDefault="00275493" w:rsidP="7FF0CC02">
            <w:pPr>
              <w:rPr>
                <w:rFonts w:ascii="Arial" w:hAnsi="Arial" w:cs="Arial"/>
                <w:sz w:val="24"/>
                <w:szCs w:val="24"/>
              </w:rPr>
            </w:pPr>
            <w:r w:rsidRPr="009E6CC5">
              <w:rPr>
                <w:rFonts w:ascii="Arial" w:hAnsi="Arial" w:cs="Arial"/>
                <w:b/>
                <w:bCs/>
                <w:sz w:val="24"/>
                <w:szCs w:val="24"/>
              </w:rPr>
              <w:t xml:space="preserve">Q. </w:t>
            </w:r>
            <w:r w:rsidRPr="009E6CC5">
              <w:rPr>
                <w:rFonts w:ascii="Arial" w:hAnsi="Arial" w:cs="Arial"/>
                <w:sz w:val="24"/>
                <w:szCs w:val="24"/>
              </w:rPr>
              <w:t>Will the uplift be backdated?</w:t>
            </w:r>
          </w:p>
          <w:p w14:paraId="51742BFA" w14:textId="5D969EBD" w:rsidR="00275493" w:rsidRPr="009E6CC5" w:rsidRDefault="00275493" w:rsidP="7FF0CC02">
            <w:pPr>
              <w:rPr>
                <w:rFonts w:ascii="Arial" w:hAnsi="Arial" w:cs="Arial"/>
                <w:b/>
                <w:bCs/>
                <w:sz w:val="24"/>
                <w:szCs w:val="24"/>
              </w:rPr>
            </w:pPr>
            <w:r w:rsidRPr="009E6CC5">
              <w:rPr>
                <w:rFonts w:ascii="Arial" w:hAnsi="Arial" w:cs="Arial"/>
                <w:b/>
                <w:bCs/>
                <w:sz w:val="24"/>
                <w:szCs w:val="24"/>
              </w:rPr>
              <w:t xml:space="preserve">A. </w:t>
            </w:r>
            <w:r w:rsidRPr="009E6CC5">
              <w:rPr>
                <w:rFonts w:ascii="Arial" w:hAnsi="Arial" w:cs="Arial"/>
                <w:sz w:val="24"/>
                <w:szCs w:val="24"/>
              </w:rPr>
              <w:t>Yes, the fees will be backdated to the 1</w:t>
            </w:r>
            <w:r w:rsidRPr="009E6CC5">
              <w:rPr>
                <w:rFonts w:ascii="Arial" w:hAnsi="Arial" w:cs="Arial"/>
                <w:sz w:val="24"/>
                <w:szCs w:val="24"/>
                <w:vertAlign w:val="superscript"/>
              </w:rPr>
              <w:t>st</w:t>
            </w:r>
            <w:r w:rsidRPr="009E6CC5">
              <w:rPr>
                <w:rFonts w:ascii="Arial" w:hAnsi="Arial" w:cs="Arial"/>
                <w:sz w:val="24"/>
                <w:szCs w:val="24"/>
              </w:rPr>
              <w:t xml:space="preserve"> April 2022 and once the fee rate is ratified by Cabinet it will be automatically implemented in our finance system.</w:t>
            </w:r>
          </w:p>
        </w:tc>
      </w:tr>
      <w:tr w:rsidR="00275493" w:rsidRPr="009E6CC5" w14:paraId="60D1AF95" w14:textId="77777777" w:rsidTr="00275493">
        <w:trPr>
          <w:trHeight w:val="841"/>
          <w:jc w:val="center"/>
        </w:trPr>
        <w:tc>
          <w:tcPr>
            <w:tcW w:w="1104" w:type="dxa"/>
          </w:tcPr>
          <w:p w14:paraId="13EFB698" w14:textId="77777777" w:rsidR="00275493" w:rsidRPr="009E6CC5" w:rsidRDefault="00275493" w:rsidP="007E0B40">
            <w:pPr>
              <w:spacing w:before="120" w:after="120"/>
              <w:jc w:val="center"/>
              <w:rPr>
                <w:rFonts w:ascii="Arial" w:hAnsi="Arial" w:cs="Arial"/>
                <w:sz w:val="24"/>
                <w:szCs w:val="24"/>
              </w:rPr>
            </w:pPr>
          </w:p>
          <w:p w14:paraId="3D4D55A2" w14:textId="29B4488E" w:rsidR="00275493" w:rsidRPr="009E6CC5" w:rsidRDefault="00275493" w:rsidP="007E0B40">
            <w:pPr>
              <w:spacing w:before="120" w:after="120"/>
              <w:jc w:val="center"/>
              <w:rPr>
                <w:rFonts w:ascii="Arial" w:hAnsi="Arial" w:cs="Arial"/>
                <w:b/>
                <w:bCs/>
                <w:sz w:val="24"/>
                <w:szCs w:val="24"/>
              </w:rPr>
            </w:pPr>
            <w:r w:rsidRPr="009E6CC5">
              <w:rPr>
                <w:rFonts w:ascii="Arial" w:hAnsi="Arial" w:cs="Arial"/>
                <w:b/>
                <w:bCs/>
                <w:sz w:val="24"/>
                <w:szCs w:val="24"/>
              </w:rPr>
              <w:t>6.</w:t>
            </w:r>
          </w:p>
        </w:tc>
        <w:tc>
          <w:tcPr>
            <w:tcW w:w="8672" w:type="dxa"/>
          </w:tcPr>
          <w:p w14:paraId="262DED64" w14:textId="793DFE3B" w:rsidR="00275493" w:rsidRPr="009E6CC5" w:rsidRDefault="00275493" w:rsidP="7FF0CC02">
            <w:pPr>
              <w:rPr>
                <w:rFonts w:ascii="Arial" w:hAnsi="Arial" w:cs="Arial"/>
                <w:sz w:val="24"/>
                <w:szCs w:val="24"/>
              </w:rPr>
            </w:pPr>
            <w:r w:rsidRPr="009E6CC5">
              <w:rPr>
                <w:rFonts w:ascii="Arial" w:hAnsi="Arial" w:cs="Arial"/>
                <w:b/>
                <w:bCs/>
                <w:sz w:val="24"/>
                <w:szCs w:val="24"/>
              </w:rPr>
              <w:t xml:space="preserve">Q. </w:t>
            </w:r>
            <w:r w:rsidRPr="009E6CC5">
              <w:rPr>
                <w:rFonts w:ascii="Arial" w:hAnsi="Arial" w:cs="Arial"/>
                <w:sz w:val="24"/>
                <w:szCs w:val="24"/>
              </w:rPr>
              <w:t>What about Direct Payment hours?</w:t>
            </w:r>
          </w:p>
          <w:p w14:paraId="5ADB049D" w14:textId="5D758029" w:rsidR="00275493" w:rsidRPr="009E6CC5" w:rsidRDefault="00275493" w:rsidP="7FF0CC02">
            <w:pPr>
              <w:rPr>
                <w:rFonts w:ascii="Arial" w:hAnsi="Arial" w:cs="Arial"/>
                <w:b/>
                <w:bCs/>
                <w:sz w:val="24"/>
                <w:szCs w:val="24"/>
              </w:rPr>
            </w:pPr>
            <w:r w:rsidRPr="009E6CC5">
              <w:rPr>
                <w:rFonts w:ascii="Arial" w:hAnsi="Arial" w:cs="Arial"/>
                <w:b/>
                <w:bCs/>
                <w:sz w:val="24"/>
                <w:szCs w:val="24"/>
              </w:rPr>
              <w:t xml:space="preserve">A. </w:t>
            </w:r>
            <w:r w:rsidRPr="009E6CC5">
              <w:rPr>
                <w:rFonts w:ascii="Arial" w:hAnsi="Arial" w:cs="Arial"/>
                <w:sz w:val="24"/>
                <w:szCs w:val="24"/>
              </w:rPr>
              <w:t xml:space="preserve">This will be for the Direct Payment Agency rate (i.e., where recipient is using a CQC registered Provider).  The increase implemented would be in line with the agreed </w:t>
            </w:r>
            <w:r>
              <w:rPr>
                <w:rFonts w:ascii="Arial" w:hAnsi="Arial" w:cs="Arial"/>
                <w:sz w:val="24"/>
                <w:szCs w:val="24"/>
              </w:rPr>
              <w:t>D</w:t>
            </w:r>
            <w:r w:rsidRPr="009E6CC5">
              <w:rPr>
                <w:rFonts w:ascii="Arial" w:hAnsi="Arial" w:cs="Arial"/>
                <w:sz w:val="24"/>
                <w:szCs w:val="24"/>
              </w:rPr>
              <w:t xml:space="preserve">omiciliary </w:t>
            </w:r>
            <w:r>
              <w:rPr>
                <w:rFonts w:ascii="Arial" w:hAnsi="Arial" w:cs="Arial"/>
                <w:sz w:val="24"/>
                <w:szCs w:val="24"/>
              </w:rPr>
              <w:t>C</w:t>
            </w:r>
            <w:r w:rsidRPr="009E6CC5">
              <w:rPr>
                <w:rFonts w:ascii="Arial" w:hAnsi="Arial" w:cs="Arial"/>
                <w:sz w:val="24"/>
                <w:szCs w:val="24"/>
              </w:rPr>
              <w:t>are rate.</w:t>
            </w:r>
          </w:p>
        </w:tc>
      </w:tr>
    </w:tbl>
    <w:p w14:paraId="1301888E" w14:textId="77777777" w:rsidR="00275493" w:rsidRDefault="00275493"/>
    <w:tbl>
      <w:tblPr>
        <w:tblStyle w:val="TableGrid"/>
        <w:tblW w:w="10201" w:type="dxa"/>
        <w:jc w:val="center"/>
        <w:tblLook w:val="04A0" w:firstRow="1" w:lastRow="0" w:firstColumn="1" w:lastColumn="0" w:noHBand="0" w:noVBand="1"/>
      </w:tblPr>
      <w:tblGrid>
        <w:gridCol w:w="1104"/>
        <w:gridCol w:w="9097"/>
      </w:tblGrid>
      <w:tr w:rsidR="00275493" w:rsidRPr="009E6CC5" w14:paraId="1D0FE146" w14:textId="77777777" w:rsidTr="004B49ED">
        <w:trPr>
          <w:trHeight w:val="1406"/>
          <w:jc w:val="center"/>
        </w:trPr>
        <w:tc>
          <w:tcPr>
            <w:tcW w:w="1104" w:type="dxa"/>
          </w:tcPr>
          <w:p w14:paraId="5B6D0EAA" w14:textId="2EEC94D7" w:rsidR="00275493" w:rsidRPr="009E6CC5" w:rsidRDefault="00275493" w:rsidP="7FF0CC02">
            <w:pPr>
              <w:jc w:val="center"/>
              <w:rPr>
                <w:rFonts w:ascii="Arial" w:hAnsi="Arial" w:cs="Arial"/>
                <w:b/>
                <w:bCs/>
                <w:sz w:val="24"/>
                <w:szCs w:val="24"/>
              </w:rPr>
            </w:pPr>
          </w:p>
          <w:p w14:paraId="0209C119" w14:textId="4873156D" w:rsidR="00275493" w:rsidRPr="009E6CC5" w:rsidRDefault="00275493" w:rsidP="7FF0CC02">
            <w:pPr>
              <w:jc w:val="center"/>
              <w:rPr>
                <w:rFonts w:ascii="Arial" w:hAnsi="Arial" w:cs="Arial"/>
                <w:b/>
                <w:bCs/>
                <w:sz w:val="24"/>
                <w:szCs w:val="24"/>
              </w:rPr>
            </w:pPr>
            <w:r w:rsidRPr="009E6CC5">
              <w:rPr>
                <w:rFonts w:ascii="Arial" w:hAnsi="Arial" w:cs="Arial"/>
                <w:b/>
                <w:bCs/>
                <w:sz w:val="24"/>
                <w:szCs w:val="24"/>
              </w:rPr>
              <w:t>7.</w:t>
            </w:r>
          </w:p>
        </w:tc>
        <w:tc>
          <w:tcPr>
            <w:tcW w:w="9097" w:type="dxa"/>
          </w:tcPr>
          <w:p w14:paraId="56446085" w14:textId="2FA81509" w:rsidR="00275493" w:rsidRDefault="00275493" w:rsidP="7FF0CC02">
            <w:pPr>
              <w:rPr>
                <w:rFonts w:ascii="Arial" w:hAnsi="Arial" w:cs="Arial"/>
                <w:b/>
                <w:bCs/>
                <w:sz w:val="24"/>
                <w:szCs w:val="24"/>
              </w:rPr>
            </w:pPr>
            <w:r w:rsidRPr="009E6CC5">
              <w:rPr>
                <w:rFonts w:ascii="Arial" w:hAnsi="Arial" w:cs="Arial"/>
                <w:b/>
                <w:bCs/>
                <w:sz w:val="24"/>
                <w:szCs w:val="24"/>
              </w:rPr>
              <w:t xml:space="preserve">Q. </w:t>
            </w:r>
            <w:r w:rsidRPr="009E6CC5">
              <w:rPr>
                <w:rFonts w:ascii="Arial" w:hAnsi="Arial" w:cs="Arial"/>
                <w:sz w:val="24"/>
                <w:szCs w:val="24"/>
              </w:rPr>
              <w:t xml:space="preserve">Is the proposed 3% figure for </w:t>
            </w:r>
            <w:r w:rsidR="00C56190">
              <w:rPr>
                <w:rFonts w:ascii="Arial" w:hAnsi="Arial" w:cs="Arial"/>
                <w:sz w:val="24"/>
                <w:szCs w:val="24"/>
              </w:rPr>
              <w:t xml:space="preserve">net </w:t>
            </w:r>
            <w:r w:rsidRPr="009E6CC5">
              <w:rPr>
                <w:rFonts w:ascii="Arial" w:hAnsi="Arial" w:cs="Arial"/>
                <w:sz w:val="24"/>
                <w:szCs w:val="24"/>
              </w:rPr>
              <w:t>profit o</w:t>
            </w:r>
            <w:r w:rsidR="00C56190">
              <w:rPr>
                <w:rFonts w:ascii="Arial" w:hAnsi="Arial" w:cs="Arial"/>
                <w:sz w:val="24"/>
                <w:szCs w:val="24"/>
              </w:rPr>
              <w:t>r</w:t>
            </w:r>
            <w:r w:rsidRPr="009E6CC5">
              <w:rPr>
                <w:rFonts w:ascii="Arial" w:hAnsi="Arial" w:cs="Arial"/>
                <w:sz w:val="24"/>
                <w:szCs w:val="24"/>
              </w:rPr>
              <w:t xml:space="preserve"> gross profit?</w:t>
            </w:r>
          </w:p>
          <w:p w14:paraId="1DFAB9D2" w14:textId="43E4DC50" w:rsidR="00275493" w:rsidRPr="009E6CC5" w:rsidRDefault="00275493" w:rsidP="00914EF8">
            <w:pPr>
              <w:rPr>
                <w:rFonts w:ascii="Arial" w:hAnsi="Arial" w:cs="Arial"/>
                <w:b/>
                <w:bCs/>
                <w:sz w:val="24"/>
                <w:szCs w:val="24"/>
              </w:rPr>
            </w:pPr>
            <w:r>
              <w:rPr>
                <w:rFonts w:ascii="Arial" w:hAnsi="Arial" w:cs="Arial"/>
                <w:b/>
                <w:bCs/>
                <w:sz w:val="24"/>
                <w:szCs w:val="24"/>
              </w:rPr>
              <w:t>A</w:t>
            </w:r>
            <w:r w:rsidRPr="009E6CC5">
              <w:rPr>
                <w:rFonts w:ascii="Arial" w:hAnsi="Arial" w:cs="Arial"/>
                <w:b/>
                <w:bCs/>
                <w:sz w:val="24"/>
                <w:szCs w:val="24"/>
              </w:rPr>
              <w:t xml:space="preserve">. </w:t>
            </w:r>
            <w:r>
              <w:rPr>
                <w:rFonts w:ascii="Arial" w:hAnsi="Arial" w:cs="Arial"/>
                <w:sz w:val="24"/>
                <w:szCs w:val="24"/>
              </w:rPr>
              <w:t>There is no distinction outlined in models such as that of the UKHCA, however the 3% is added to the calculations which include all staffing and other / running the business costs.</w:t>
            </w:r>
          </w:p>
        </w:tc>
      </w:tr>
      <w:tr w:rsidR="00275493" w:rsidRPr="009E6CC5" w14:paraId="2AC2BEC2" w14:textId="77777777" w:rsidTr="004B49ED">
        <w:trPr>
          <w:trHeight w:val="1559"/>
          <w:jc w:val="center"/>
        </w:trPr>
        <w:tc>
          <w:tcPr>
            <w:tcW w:w="1104" w:type="dxa"/>
          </w:tcPr>
          <w:p w14:paraId="6B7805DC" w14:textId="1C6DFFD1" w:rsidR="00275493" w:rsidRPr="009E6CC5" w:rsidRDefault="00275493" w:rsidP="7FF0CC02">
            <w:pPr>
              <w:jc w:val="center"/>
              <w:rPr>
                <w:rFonts w:ascii="Arial" w:hAnsi="Arial" w:cs="Arial"/>
                <w:b/>
                <w:bCs/>
                <w:sz w:val="24"/>
                <w:szCs w:val="24"/>
              </w:rPr>
            </w:pPr>
          </w:p>
          <w:p w14:paraId="7A5CF40E" w14:textId="520F03AD" w:rsidR="00275493" w:rsidRPr="009E6CC5" w:rsidRDefault="00275493" w:rsidP="7FF0CC02">
            <w:pPr>
              <w:jc w:val="center"/>
              <w:rPr>
                <w:rFonts w:ascii="Arial" w:hAnsi="Arial" w:cs="Arial"/>
                <w:b/>
                <w:bCs/>
                <w:sz w:val="24"/>
                <w:szCs w:val="24"/>
              </w:rPr>
            </w:pPr>
            <w:r w:rsidRPr="009E6CC5">
              <w:rPr>
                <w:rFonts w:ascii="Arial" w:hAnsi="Arial" w:cs="Arial"/>
                <w:b/>
                <w:bCs/>
                <w:sz w:val="24"/>
                <w:szCs w:val="24"/>
              </w:rPr>
              <w:t>8.</w:t>
            </w:r>
          </w:p>
        </w:tc>
        <w:tc>
          <w:tcPr>
            <w:tcW w:w="9097" w:type="dxa"/>
          </w:tcPr>
          <w:p w14:paraId="65EAD187" w14:textId="74615106" w:rsidR="00275493" w:rsidRPr="009E6CC5" w:rsidRDefault="00275493" w:rsidP="7FF0CC02">
            <w:pPr>
              <w:rPr>
                <w:rFonts w:ascii="Arial" w:hAnsi="Arial" w:cs="Arial"/>
                <w:b/>
                <w:bCs/>
                <w:sz w:val="24"/>
                <w:szCs w:val="24"/>
              </w:rPr>
            </w:pPr>
            <w:r w:rsidRPr="009E6CC5">
              <w:rPr>
                <w:rFonts w:ascii="Arial" w:hAnsi="Arial" w:cs="Arial"/>
                <w:b/>
                <w:bCs/>
                <w:sz w:val="24"/>
                <w:szCs w:val="24"/>
              </w:rPr>
              <w:t xml:space="preserve">Q. </w:t>
            </w:r>
            <w:r w:rsidRPr="009E6CC5">
              <w:rPr>
                <w:rFonts w:ascii="Arial" w:hAnsi="Arial" w:cs="Arial"/>
                <w:sz w:val="24"/>
                <w:szCs w:val="24"/>
              </w:rPr>
              <w:t>The 3% margin will be squeezed because of an increase in energy and mileage costs and businesses cannot provide care for 0% profit. Can we see the breakdown of this calculation please?</w:t>
            </w:r>
          </w:p>
          <w:p w14:paraId="683FA70B" w14:textId="47066FF9" w:rsidR="00275493" w:rsidRPr="009E6CC5" w:rsidRDefault="00275493" w:rsidP="7FF0CC02">
            <w:pPr>
              <w:rPr>
                <w:rFonts w:ascii="Arial" w:hAnsi="Arial" w:cs="Arial"/>
                <w:b/>
                <w:bCs/>
                <w:sz w:val="24"/>
                <w:szCs w:val="24"/>
                <w:highlight w:val="yellow"/>
              </w:rPr>
            </w:pPr>
            <w:r w:rsidRPr="009222B4">
              <w:rPr>
                <w:rFonts w:ascii="Arial" w:hAnsi="Arial" w:cs="Arial"/>
                <w:b/>
                <w:bCs/>
                <w:sz w:val="24"/>
                <w:szCs w:val="24"/>
              </w:rPr>
              <w:t>A.</w:t>
            </w:r>
            <w:r w:rsidRPr="009E6CC5">
              <w:rPr>
                <w:rFonts w:ascii="Arial" w:hAnsi="Arial" w:cs="Arial"/>
                <w:b/>
                <w:bCs/>
                <w:sz w:val="24"/>
                <w:szCs w:val="24"/>
              </w:rPr>
              <w:t xml:space="preserve"> </w:t>
            </w:r>
            <w:r w:rsidRPr="009222B4">
              <w:rPr>
                <w:rFonts w:ascii="Arial" w:hAnsi="Arial" w:cs="Arial"/>
                <w:sz w:val="24"/>
                <w:szCs w:val="24"/>
              </w:rPr>
              <w:t>The 3%</w:t>
            </w:r>
            <w:r>
              <w:rPr>
                <w:rFonts w:ascii="Arial" w:hAnsi="Arial" w:cs="Arial"/>
                <w:sz w:val="24"/>
                <w:szCs w:val="24"/>
              </w:rPr>
              <w:t xml:space="preserve"> profit level was calculated in the previous Market Oversight exercise conducted by RedQuadrant and is the profit margin calculated by the UKHCA at that time and also in their recent October 2021 report.</w:t>
            </w:r>
          </w:p>
        </w:tc>
      </w:tr>
      <w:tr w:rsidR="00275493" w:rsidRPr="009E6CC5" w14:paraId="227F49FF" w14:textId="77777777" w:rsidTr="004B49ED">
        <w:trPr>
          <w:trHeight w:val="1559"/>
          <w:jc w:val="center"/>
        </w:trPr>
        <w:tc>
          <w:tcPr>
            <w:tcW w:w="1104" w:type="dxa"/>
          </w:tcPr>
          <w:p w14:paraId="7516EECE" w14:textId="5674412A" w:rsidR="00275493" w:rsidRPr="009E6CC5" w:rsidRDefault="00275493" w:rsidP="7FF0CC02">
            <w:pPr>
              <w:jc w:val="center"/>
              <w:rPr>
                <w:rFonts w:ascii="Arial" w:hAnsi="Arial" w:cs="Arial"/>
                <w:b/>
                <w:bCs/>
                <w:sz w:val="24"/>
                <w:szCs w:val="24"/>
              </w:rPr>
            </w:pPr>
          </w:p>
          <w:p w14:paraId="22E727BA" w14:textId="118D338B" w:rsidR="00275493" w:rsidRPr="009E6CC5" w:rsidRDefault="00275493" w:rsidP="7FF0CC02">
            <w:pPr>
              <w:jc w:val="center"/>
              <w:rPr>
                <w:rFonts w:ascii="Arial" w:hAnsi="Arial" w:cs="Arial"/>
                <w:b/>
                <w:bCs/>
                <w:sz w:val="24"/>
                <w:szCs w:val="24"/>
              </w:rPr>
            </w:pPr>
            <w:r w:rsidRPr="009E6CC5">
              <w:rPr>
                <w:rFonts w:ascii="Arial" w:hAnsi="Arial" w:cs="Arial"/>
                <w:b/>
                <w:bCs/>
                <w:sz w:val="24"/>
                <w:szCs w:val="24"/>
              </w:rPr>
              <w:t>9.</w:t>
            </w:r>
          </w:p>
        </w:tc>
        <w:tc>
          <w:tcPr>
            <w:tcW w:w="9097" w:type="dxa"/>
          </w:tcPr>
          <w:p w14:paraId="137C0CFD" w14:textId="42EE1362" w:rsidR="00275493" w:rsidRPr="009E6CC5" w:rsidRDefault="00275493" w:rsidP="7FF0CC02">
            <w:pPr>
              <w:rPr>
                <w:rFonts w:ascii="Arial" w:hAnsi="Arial" w:cs="Arial"/>
                <w:sz w:val="24"/>
                <w:szCs w:val="24"/>
              </w:rPr>
            </w:pPr>
            <w:r w:rsidRPr="009E6CC5">
              <w:rPr>
                <w:rFonts w:ascii="Arial" w:hAnsi="Arial" w:cs="Arial"/>
                <w:b/>
                <w:bCs/>
                <w:sz w:val="24"/>
                <w:szCs w:val="24"/>
              </w:rPr>
              <w:t xml:space="preserve">Q. </w:t>
            </w:r>
            <w:r w:rsidRPr="009E6CC5">
              <w:rPr>
                <w:rFonts w:ascii="Arial" w:hAnsi="Arial" w:cs="Arial"/>
                <w:sz w:val="24"/>
                <w:szCs w:val="24"/>
              </w:rPr>
              <w:t>The costs for training and recruitment have increased dramatically in the last year. Can you please share the rationale for the ‘other costs’?</w:t>
            </w:r>
          </w:p>
          <w:p w14:paraId="1C023554" w14:textId="373A5A67" w:rsidR="00275493" w:rsidRDefault="00275493" w:rsidP="7FF0CC02">
            <w:pPr>
              <w:rPr>
                <w:rFonts w:ascii="Arial" w:hAnsi="Arial" w:cs="Arial"/>
                <w:sz w:val="24"/>
                <w:szCs w:val="24"/>
              </w:rPr>
            </w:pPr>
            <w:r w:rsidRPr="009E6CC5">
              <w:rPr>
                <w:rFonts w:ascii="Arial" w:hAnsi="Arial" w:cs="Arial"/>
                <w:b/>
                <w:bCs/>
                <w:sz w:val="24"/>
                <w:szCs w:val="24"/>
              </w:rPr>
              <w:t xml:space="preserve">A. </w:t>
            </w:r>
            <w:r w:rsidRPr="009E6CC5">
              <w:rPr>
                <w:rFonts w:ascii="Arial" w:hAnsi="Arial" w:cs="Arial"/>
                <w:sz w:val="24"/>
                <w:szCs w:val="24"/>
              </w:rPr>
              <w:t>The ‘other costs’ are based on the previous cost of care exercise carried out by RedQuadrant.</w:t>
            </w:r>
            <w:r w:rsidR="00071D48">
              <w:rPr>
                <w:rFonts w:ascii="Arial" w:hAnsi="Arial" w:cs="Arial"/>
                <w:sz w:val="24"/>
                <w:szCs w:val="24"/>
              </w:rPr>
              <w:t xml:space="preserve">  </w:t>
            </w:r>
            <w:r>
              <w:rPr>
                <w:rFonts w:ascii="Arial" w:hAnsi="Arial" w:cs="Arial"/>
                <w:sz w:val="24"/>
                <w:szCs w:val="24"/>
              </w:rPr>
              <w:t>The following table provides further information</w:t>
            </w:r>
            <w:r w:rsidR="00FA6393">
              <w:rPr>
                <w:rFonts w:ascii="Arial" w:hAnsi="Arial" w:cs="Arial"/>
                <w:sz w:val="24"/>
                <w:szCs w:val="24"/>
              </w:rPr>
              <w:t>:</w:t>
            </w:r>
          </w:p>
          <w:tbl>
            <w:tblPr>
              <w:tblW w:w="5000" w:type="pct"/>
              <w:tblLook w:val="04A0" w:firstRow="1" w:lastRow="0" w:firstColumn="1" w:lastColumn="0" w:noHBand="0" w:noVBand="1"/>
            </w:tblPr>
            <w:tblGrid>
              <w:gridCol w:w="2952"/>
              <w:gridCol w:w="2197"/>
              <w:gridCol w:w="1524"/>
              <w:gridCol w:w="2198"/>
            </w:tblGrid>
            <w:tr w:rsidR="00071D48" w:rsidRPr="00071D48" w14:paraId="76A5932E" w14:textId="77777777" w:rsidTr="00071D48">
              <w:trPr>
                <w:trHeight w:val="2610"/>
              </w:trPr>
              <w:tc>
                <w:tcPr>
                  <w:tcW w:w="1672"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565E14" w14:textId="77777777" w:rsidR="00071D48" w:rsidRPr="00071D48" w:rsidRDefault="00071D48" w:rsidP="00071D48">
                  <w:pPr>
                    <w:spacing w:after="0" w:line="240" w:lineRule="auto"/>
                    <w:jc w:val="center"/>
                    <w:rPr>
                      <w:rFonts w:ascii="Calibri" w:eastAsia="Times New Roman" w:hAnsi="Calibri" w:cs="Calibri"/>
                      <w:b/>
                      <w:bCs/>
                      <w:color w:val="000000"/>
                      <w:lang w:eastAsia="en-GB"/>
                    </w:rPr>
                  </w:pPr>
                  <w:r w:rsidRPr="00071D48">
                    <w:rPr>
                      <w:rFonts w:ascii="Calibri" w:eastAsia="Times New Roman" w:hAnsi="Calibri" w:cs="Calibri"/>
                      <w:b/>
                      <w:bCs/>
                      <w:color w:val="000000"/>
                      <w:lang w:eastAsia="en-GB"/>
                    </w:rPr>
                    <w:t>Element</w:t>
                  </w:r>
                </w:p>
              </w:tc>
              <w:tc>
                <w:tcPr>
                  <w:tcW w:w="1246" w:type="pct"/>
                  <w:tcBorders>
                    <w:top w:val="single" w:sz="4" w:space="0" w:color="auto"/>
                    <w:left w:val="nil"/>
                    <w:bottom w:val="single" w:sz="4" w:space="0" w:color="auto"/>
                    <w:right w:val="single" w:sz="4" w:space="0" w:color="auto"/>
                  </w:tcBorders>
                  <w:shd w:val="clear" w:color="000000" w:fill="D9D9D9"/>
                  <w:vAlign w:val="center"/>
                  <w:hideMark/>
                </w:tcPr>
                <w:p w14:paraId="3E64009B" w14:textId="4789E634" w:rsidR="00071D48" w:rsidRPr="00071D48" w:rsidRDefault="00071D48" w:rsidP="00071D48">
                  <w:pPr>
                    <w:spacing w:after="0" w:line="240" w:lineRule="auto"/>
                    <w:jc w:val="center"/>
                    <w:rPr>
                      <w:rFonts w:ascii="Calibri" w:eastAsia="Times New Roman" w:hAnsi="Calibri" w:cs="Calibri"/>
                      <w:b/>
                      <w:bCs/>
                      <w:color w:val="000000"/>
                      <w:lang w:eastAsia="en-GB"/>
                    </w:rPr>
                  </w:pPr>
                  <w:r w:rsidRPr="00071D48">
                    <w:rPr>
                      <w:rFonts w:ascii="Calibri" w:eastAsia="Times New Roman" w:hAnsi="Calibri" w:cs="Calibri"/>
                      <w:b/>
                      <w:bCs/>
                      <w:color w:val="000000"/>
                      <w:lang w:eastAsia="en-GB"/>
                    </w:rPr>
                    <w:t>RedQuadrant Rate was £13.83 (2017/18) - of which £3.04 was attributed to 'Other Costs'</w:t>
                  </w:r>
                  <w:r w:rsidRPr="00071D48">
                    <w:rPr>
                      <w:rFonts w:ascii="Calibri" w:eastAsia="Times New Roman" w:hAnsi="Calibri" w:cs="Calibri"/>
                      <w:color w:val="000000"/>
                      <w:lang w:eastAsia="en-GB"/>
                    </w:rPr>
                    <w:t xml:space="preserve"> (also sometimes referred to as </w:t>
                  </w:r>
                  <w:r w:rsidRPr="00071D48">
                    <w:rPr>
                      <w:rFonts w:ascii="Calibri" w:eastAsia="Times New Roman" w:hAnsi="Calibri" w:cs="Calibri"/>
                      <w:i/>
                      <w:iCs/>
                      <w:color w:val="000000"/>
                      <w:lang w:eastAsia="en-GB"/>
                    </w:rPr>
                    <w:t xml:space="preserve">"Running the </w:t>
                  </w:r>
                  <w:r w:rsidR="00D847AF" w:rsidRPr="00071D48">
                    <w:rPr>
                      <w:rFonts w:ascii="Calibri" w:eastAsia="Times New Roman" w:hAnsi="Calibri" w:cs="Calibri"/>
                      <w:i/>
                      <w:iCs/>
                      <w:color w:val="000000"/>
                      <w:lang w:eastAsia="en-GB"/>
                    </w:rPr>
                    <w:t>business</w:t>
                  </w:r>
                  <w:r w:rsidRPr="00071D48">
                    <w:rPr>
                      <w:rFonts w:ascii="Calibri" w:eastAsia="Times New Roman" w:hAnsi="Calibri" w:cs="Calibri"/>
                      <w:i/>
                      <w:iCs/>
                      <w:color w:val="000000"/>
                      <w:lang w:eastAsia="en-GB"/>
                    </w:rPr>
                    <w:t>"</w:t>
                  </w:r>
                  <w:r w:rsidRPr="00071D48">
                    <w:rPr>
                      <w:rFonts w:ascii="Calibri" w:eastAsia="Times New Roman" w:hAnsi="Calibri" w:cs="Calibri"/>
                      <w:color w:val="000000"/>
                      <w:lang w:eastAsia="en-GB"/>
                    </w:rPr>
                    <w:t>)</w:t>
                  </w:r>
                </w:p>
              </w:tc>
              <w:tc>
                <w:tcPr>
                  <w:tcW w:w="836" w:type="pct"/>
                  <w:tcBorders>
                    <w:top w:val="single" w:sz="4" w:space="0" w:color="auto"/>
                    <w:left w:val="nil"/>
                    <w:bottom w:val="single" w:sz="4" w:space="0" w:color="auto"/>
                    <w:right w:val="single" w:sz="4" w:space="0" w:color="auto"/>
                  </w:tcBorders>
                  <w:shd w:val="clear" w:color="000000" w:fill="D9D9D9"/>
                  <w:noWrap/>
                  <w:vAlign w:val="center"/>
                  <w:hideMark/>
                </w:tcPr>
                <w:p w14:paraId="1D77FDE5" w14:textId="77777777" w:rsidR="00071D48" w:rsidRPr="00071D48" w:rsidRDefault="00071D48" w:rsidP="00071D48">
                  <w:pPr>
                    <w:spacing w:after="0" w:line="240" w:lineRule="auto"/>
                    <w:jc w:val="center"/>
                    <w:rPr>
                      <w:rFonts w:ascii="Calibri" w:eastAsia="Times New Roman" w:hAnsi="Calibri" w:cs="Calibri"/>
                      <w:b/>
                      <w:bCs/>
                      <w:color w:val="000000"/>
                      <w:lang w:eastAsia="en-GB"/>
                    </w:rPr>
                  </w:pPr>
                  <w:r w:rsidRPr="00071D48">
                    <w:rPr>
                      <w:rFonts w:ascii="Calibri" w:eastAsia="Times New Roman" w:hAnsi="Calibri" w:cs="Calibri"/>
                      <w:b/>
                      <w:bCs/>
                      <w:color w:val="000000"/>
                      <w:lang w:eastAsia="en-GB"/>
                    </w:rPr>
                    <w:t>% of the £3.04</w:t>
                  </w:r>
                </w:p>
              </w:tc>
              <w:tc>
                <w:tcPr>
                  <w:tcW w:w="1246" w:type="pct"/>
                  <w:tcBorders>
                    <w:top w:val="single" w:sz="4" w:space="0" w:color="auto"/>
                    <w:left w:val="nil"/>
                    <w:bottom w:val="single" w:sz="4" w:space="0" w:color="auto"/>
                    <w:right w:val="single" w:sz="4" w:space="0" w:color="auto"/>
                  </w:tcBorders>
                  <w:shd w:val="clear" w:color="000000" w:fill="92D050"/>
                  <w:vAlign w:val="center"/>
                  <w:hideMark/>
                </w:tcPr>
                <w:p w14:paraId="1F540DE3" w14:textId="4BEDDE1A" w:rsidR="00071D48" w:rsidRPr="00071D48" w:rsidRDefault="00071D48" w:rsidP="00071D48">
                  <w:pPr>
                    <w:spacing w:after="0" w:line="240" w:lineRule="auto"/>
                    <w:jc w:val="center"/>
                    <w:rPr>
                      <w:rFonts w:ascii="Calibri" w:eastAsia="Times New Roman" w:hAnsi="Calibri" w:cs="Calibri"/>
                      <w:b/>
                      <w:bCs/>
                      <w:color w:val="000000"/>
                      <w:lang w:eastAsia="en-GB"/>
                    </w:rPr>
                  </w:pPr>
                  <w:r w:rsidRPr="00071D48">
                    <w:rPr>
                      <w:rFonts w:ascii="Calibri" w:eastAsia="Times New Roman" w:hAnsi="Calibri" w:cs="Calibri"/>
                      <w:b/>
                      <w:bCs/>
                      <w:color w:val="000000"/>
                      <w:lang w:eastAsia="en-GB"/>
                    </w:rPr>
                    <w:t>Using these figures the breakdown of the £3.89 'Other Costs' within proposed 2022/23 fee rate would be</w:t>
                  </w:r>
                  <w:r w:rsidRPr="00071D48">
                    <w:rPr>
                      <w:rFonts w:ascii="Calibri" w:eastAsia="Times New Roman" w:hAnsi="Calibri" w:cs="Calibri"/>
                      <w:b/>
                      <w:bCs/>
                      <w:color w:val="000000"/>
                      <w:lang w:eastAsia="en-GB"/>
                    </w:rPr>
                    <w:br/>
                  </w:r>
                </w:p>
              </w:tc>
            </w:tr>
            <w:tr w:rsidR="00071D48" w:rsidRPr="00071D48" w14:paraId="6A24004E" w14:textId="77777777" w:rsidTr="00071D48">
              <w:trPr>
                <w:trHeight w:val="310"/>
              </w:trPr>
              <w:tc>
                <w:tcPr>
                  <w:tcW w:w="1672" w:type="pct"/>
                  <w:tcBorders>
                    <w:top w:val="nil"/>
                    <w:left w:val="single" w:sz="4" w:space="0" w:color="auto"/>
                    <w:bottom w:val="single" w:sz="4" w:space="0" w:color="auto"/>
                    <w:right w:val="single" w:sz="4" w:space="0" w:color="auto"/>
                  </w:tcBorders>
                  <w:shd w:val="clear" w:color="auto" w:fill="auto"/>
                  <w:vAlign w:val="center"/>
                  <w:hideMark/>
                </w:tcPr>
                <w:p w14:paraId="490C441F" w14:textId="77777777" w:rsidR="00071D48" w:rsidRPr="00071D48" w:rsidRDefault="00071D48" w:rsidP="00071D48">
                  <w:pPr>
                    <w:spacing w:after="0" w:line="240" w:lineRule="auto"/>
                    <w:rPr>
                      <w:rFonts w:ascii="Calibri" w:eastAsia="Times New Roman" w:hAnsi="Calibri" w:cs="Calibri"/>
                      <w:color w:val="000000"/>
                      <w:sz w:val="24"/>
                      <w:szCs w:val="24"/>
                      <w:lang w:eastAsia="en-GB"/>
                    </w:rPr>
                  </w:pPr>
                  <w:r w:rsidRPr="00071D48">
                    <w:rPr>
                      <w:rFonts w:ascii="Calibri" w:eastAsia="Times New Roman" w:hAnsi="Calibri" w:cs="Calibri"/>
                      <w:color w:val="000000"/>
                      <w:sz w:val="24"/>
                      <w:szCs w:val="24"/>
                      <w:lang w:eastAsia="en-GB"/>
                    </w:rPr>
                    <w:t>Direct Supervisor Costs</w:t>
                  </w:r>
                </w:p>
              </w:tc>
              <w:tc>
                <w:tcPr>
                  <w:tcW w:w="1246" w:type="pct"/>
                  <w:tcBorders>
                    <w:top w:val="nil"/>
                    <w:left w:val="nil"/>
                    <w:bottom w:val="single" w:sz="4" w:space="0" w:color="auto"/>
                    <w:right w:val="single" w:sz="4" w:space="0" w:color="auto"/>
                  </w:tcBorders>
                  <w:shd w:val="clear" w:color="000000" w:fill="D9D9D9"/>
                  <w:noWrap/>
                  <w:vAlign w:val="bottom"/>
                  <w:hideMark/>
                </w:tcPr>
                <w:p w14:paraId="769E2F34"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£0.72</w:t>
                  </w:r>
                </w:p>
              </w:tc>
              <w:tc>
                <w:tcPr>
                  <w:tcW w:w="836" w:type="pct"/>
                  <w:tcBorders>
                    <w:top w:val="nil"/>
                    <w:left w:val="nil"/>
                    <w:bottom w:val="single" w:sz="4" w:space="0" w:color="auto"/>
                    <w:right w:val="single" w:sz="4" w:space="0" w:color="auto"/>
                  </w:tcBorders>
                  <w:shd w:val="clear" w:color="000000" w:fill="D9D9D9"/>
                  <w:noWrap/>
                  <w:vAlign w:val="bottom"/>
                  <w:hideMark/>
                </w:tcPr>
                <w:p w14:paraId="2D85C4D8"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0.237851662</w:t>
                  </w:r>
                </w:p>
              </w:tc>
              <w:tc>
                <w:tcPr>
                  <w:tcW w:w="1246" w:type="pct"/>
                  <w:tcBorders>
                    <w:top w:val="nil"/>
                    <w:left w:val="nil"/>
                    <w:bottom w:val="single" w:sz="4" w:space="0" w:color="auto"/>
                    <w:right w:val="single" w:sz="4" w:space="0" w:color="auto"/>
                  </w:tcBorders>
                  <w:shd w:val="clear" w:color="000000" w:fill="92D050"/>
                  <w:noWrap/>
                  <w:vAlign w:val="bottom"/>
                  <w:hideMark/>
                </w:tcPr>
                <w:p w14:paraId="7FDD5C1F" w14:textId="77777777" w:rsidR="00071D48" w:rsidRPr="00071D48" w:rsidRDefault="00071D48" w:rsidP="00071D48">
                  <w:pPr>
                    <w:spacing w:after="0" w:line="240" w:lineRule="auto"/>
                    <w:jc w:val="center"/>
                    <w:rPr>
                      <w:rFonts w:ascii="Calibri" w:eastAsia="Times New Roman" w:hAnsi="Calibri" w:cs="Calibri"/>
                      <w:color w:val="000000"/>
                      <w:lang w:eastAsia="en-GB"/>
                    </w:rPr>
                  </w:pPr>
                  <w:r w:rsidRPr="00071D48">
                    <w:rPr>
                      <w:rFonts w:ascii="Calibri" w:eastAsia="Times New Roman" w:hAnsi="Calibri" w:cs="Calibri"/>
                      <w:color w:val="000000"/>
                      <w:lang w:eastAsia="en-GB"/>
                    </w:rPr>
                    <w:t>£0.93</w:t>
                  </w:r>
                </w:p>
              </w:tc>
            </w:tr>
            <w:tr w:rsidR="00071D48" w:rsidRPr="00071D48" w14:paraId="00AFA3B5" w14:textId="77777777" w:rsidTr="00071D48">
              <w:trPr>
                <w:trHeight w:val="310"/>
              </w:trPr>
              <w:tc>
                <w:tcPr>
                  <w:tcW w:w="1672" w:type="pct"/>
                  <w:tcBorders>
                    <w:top w:val="nil"/>
                    <w:left w:val="single" w:sz="4" w:space="0" w:color="auto"/>
                    <w:bottom w:val="single" w:sz="4" w:space="0" w:color="auto"/>
                    <w:right w:val="single" w:sz="4" w:space="0" w:color="auto"/>
                  </w:tcBorders>
                  <w:shd w:val="clear" w:color="auto" w:fill="auto"/>
                  <w:vAlign w:val="center"/>
                  <w:hideMark/>
                </w:tcPr>
                <w:p w14:paraId="022C91AC" w14:textId="77777777" w:rsidR="00071D48" w:rsidRPr="00071D48" w:rsidRDefault="00071D48" w:rsidP="00071D48">
                  <w:pPr>
                    <w:spacing w:after="0" w:line="240" w:lineRule="auto"/>
                    <w:rPr>
                      <w:rFonts w:ascii="Calibri" w:eastAsia="Times New Roman" w:hAnsi="Calibri" w:cs="Calibri"/>
                      <w:color w:val="000000"/>
                      <w:sz w:val="24"/>
                      <w:szCs w:val="24"/>
                      <w:lang w:eastAsia="en-GB"/>
                    </w:rPr>
                  </w:pPr>
                  <w:r w:rsidRPr="00071D48">
                    <w:rPr>
                      <w:rFonts w:ascii="Calibri" w:eastAsia="Times New Roman" w:hAnsi="Calibri" w:cs="Calibri"/>
                      <w:color w:val="000000"/>
                      <w:sz w:val="24"/>
                      <w:szCs w:val="24"/>
                      <w:lang w:eastAsia="en-GB"/>
                    </w:rPr>
                    <w:t>Uniform Costs</w:t>
                  </w:r>
                </w:p>
              </w:tc>
              <w:tc>
                <w:tcPr>
                  <w:tcW w:w="1246" w:type="pct"/>
                  <w:tcBorders>
                    <w:top w:val="nil"/>
                    <w:left w:val="nil"/>
                    <w:bottom w:val="single" w:sz="4" w:space="0" w:color="auto"/>
                    <w:right w:val="single" w:sz="4" w:space="0" w:color="auto"/>
                  </w:tcBorders>
                  <w:shd w:val="clear" w:color="000000" w:fill="D9D9D9"/>
                  <w:noWrap/>
                  <w:vAlign w:val="bottom"/>
                  <w:hideMark/>
                </w:tcPr>
                <w:p w14:paraId="02DD2517"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£0.06</w:t>
                  </w:r>
                </w:p>
              </w:tc>
              <w:tc>
                <w:tcPr>
                  <w:tcW w:w="836" w:type="pct"/>
                  <w:tcBorders>
                    <w:top w:val="nil"/>
                    <w:left w:val="nil"/>
                    <w:bottom w:val="single" w:sz="4" w:space="0" w:color="auto"/>
                    <w:right w:val="single" w:sz="4" w:space="0" w:color="auto"/>
                  </w:tcBorders>
                  <w:shd w:val="clear" w:color="000000" w:fill="D9D9D9"/>
                  <w:noWrap/>
                  <w:vAlign w:val="bottom"/>
                  <w:hideMark/>
                </w:tcPr>
                <w:p w14:paraId="78E4A045"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0.020460358</w:t>
                  </w:r>
                </w:p>
              </w:tc>
              <w:tc>
                <w:tcPr>
                  <w:tcW w:w="1246" w:type="pct"/>
                  <w:tcBorders>
                    <w:top w:val="nil"/>
                    <w:left w:val="nil"/>
                    <w:bottom w:val="single" w:sz="4" w:space="0" w:color="auto"/>
                    <w:right w:val="single" w:sz="4" w:space="0" w:color="auto"/>
                  </w:tcBorders>
                  <w:shd w:val="clear" w:color="000000" w:fill="92D050"/>
                  <w:noWrap/>
                  <w:vAlign w:val="bottom"/>
                  <w:hideMark/>
                </w:tcPr>
                <w:p w14:paraId="75E581C0" w14:textId="77777777" w:rsidR="00071D48" w:rsidRPr="00071D48" w:rsidRDefault="00071D48" w:rsidP="00071D48">
                  <w:pPr>
                    <w:spacing w:after="0" w:line="240" w:lineRule="auto"/>
                    <w:jc w:val="center"/>
                    <w:rPr>
                      <w:rFonts w:ascii="Calibri" w:eastAsia="Times New Roman" w:hAnsi="Calibri" w:cs="Calibri"/>
                      <w:color w:val="000000"/>
                      <w:lang w:eastAsia="en-GB"/>
                    </w:rPr>
                  </w:pPr>
                  <w:r w:rsidRPr="00071D48">
                    <w:rPr>
                      <w:rFonts w:ascii="Calibri" w:eastAsia="Times New Roman" w:hAnsi="Calibri" w:cs="Calibri"/>
                      <w:color w:val="000000"/>
                      <w:lang w:eastAsia="en-GB"/>
                    </w:rPr>
                    <w:t>£0.08</w:t>
                  </w:r>
                </w:p>
              </w:tc>
            </w:tr>
            <w:tr w:rsidR="00071D48" w:rsidRPr="00071D48" w14:paraId="6274287D" w14:textId="77777777" w:rsidTr="00071D48">
              <w:trPr>
                <w:trHeight w:val="310"/>
              </w:trPr>
              <w:tc>
                <w:tcPr>
                  <w:tcW w:w="1672" w:type="pct"/>
                  <w:tcBorders>
                    <w:top w:val="nil"/>
                    <w:left w:val="single" w:sz="4" w:space="0" w:color="auto"/>
                    <w:bottom w:val="single" w:sz="4" w:space="0" w:color="auto"/>
                    <w:right w:val="single" w:sz="4" w:space="0" w:color="auto"/>
                  </w:tcBorders>
                  <w:shd w:val="clear" w:color="auto" w:fill="auto"/>
                  <w:vAlign w:val="center"/>
                  <w:hideMark/>
                </w:tcPr>
                <w:p w14:paraId="6D27FB17" w14:textId="77777777" w:rsidR="00071D48" w:rsidRPr="00071D48" w:rsidRDefault="00071D48" w:rsidP="00071D48">
                  <w:pPr>
                    <w:spacing w:after="0" w:line="240" w:lineRule="auto"/>
                    <w:rPr>
                      <w:rFonts w:ascii="Calibri" w:eastAsia="Times New Roman" w:hAnsi="Calibri" w:cs="Calibri"/>
                      <w:color w:val="000000"/>
                      <w:sz w:val="24"/>
                      <w:szCs w:val="24"/>
                      <w:lang w:eastAsia="en-GB"/>
                    </w:rPr>
                  </w:pPr>
                  <w:r w:rsidRPr="00071D48">
                    <w:rPr>
                      <w:rFonts w:ascii="Calibri" w:eastAsia="Times New Roman" w:hAnsi="Calibri" w:cs="Calibri"/>
                      <w:color w:val="000000"/>
                      <w:sz w:val="24"/>
                      <w:szCs w:val="24"/>
                      <w:lang w:eastAsia="en-GB"/>
                    </w:rPr>
                    <w:t>Training</w:t>
                  </w:r>
                </w:p>
              </w:tc>
              <w:tc>
                <w:tcPr>
                  <w:tcW w:w="1246" w:type="pct"/>
                  <w:tcBorders>
                    <w:top w:val="nil"/>
                    <w:left w:val="nil"/>
                    <w:bottom w:val="single" w:sz="4" w:space="0" w:color="auto"/>
                    <w:right w:val="single" w:sz="4" w:space="0" w:color="auto"/>
                  </w:tcBorders>
                  <w:shd w:val="clear" w:color="000000" w:fill="D9D9D9"/>
                  <w:noWrap/>
                  <w:vAlign w:val="bottom"/>
                  <w:hideMark/>
                </w:tcPr>
                <w:p w14:paraId="31D8A53B"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£0.09</w:t>
                  </w:r>
                </w:p>
              </w:tc>
              <w:tc>
                <w:tcPr>
                  <w:tcW w:w="836" w:type="pct"/>
                  <w:tcBorders>
                    <w:top w:val="nil"/>
                    <w:left w:val="nil"/>
                    <w:bottom w:val="single" w:sz="4" w:space="0" w:color="auto"/>
                    <w:right w:val="single" w:sz="4" w:space="0" w:color="auto"/>
                  </w:tcBorders>
                  <w:shd w:val="clear" w:color="000000" w:fill="D9D9D9"/>
                  <w:noWrap/>
                  <w:vAlign w:val="bottom"/>
                  <w:hideMark/>
                </w:tcPr>
                <w:p w14:paraId="5F47A1D2"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0.030690537</w:t>
                  </w:r>
                </w:p>
              </w:tc>
              <w:tc>
                <w:tcPr>
                  <w:tcW w:w="1246" w:type="pct"/>
                  <w:tcBorders>
                    <w:top w:val="nil"/>
                    <w:left w:val="nil"/>
                    <w:bottom w:val="single" w:sz="4" w:space="0" w:color="auto"/>
                    <w:right w:val="single" w:sz="4" w:space="0" w:color="auto"/>
                  </w:tcBorders>
                  <w:shd w:val="clear" w:color="000000" w:fill="92D050"/>
                  <w:noWrap/>
                  <w:vAlign w:val="bottom"/>
                  <w:hideMark/>
                </w:tcPr>
                <w:p w14:paraId="5A17E9E0" w14:textId="77777777" w:rsidR="00071D48" w:rsidRPr="00071D48" w:rsidRDefault="00071D48" w:rsidP="00071D48">
                  <w:pPr>
                    <w:spacing w:after="0" w:line="240" w:lineRule="auto"/>
                    <w:jc w:val="center"/>
                    <w:rPr>
                      <w:rFonts w:ascii="Calibri" w:eastAsia="Times New Roman" w:hAnsi="Calibri" w:cs="Calibri"/>
                      <w:color w:val="000000"/>
                      <w:lang w:eastAsia="en-GB"/>
                    </w:rPr>
                  </w:pPr>
                  <w:r w:rsidRPr="00071D48">
                    <w:rPr>
                      <w:rFonts w:ascii="Calibri" w:eastAsia="Times New Roman" w:hAnsi="Calibri" w:cs="Calibri"/>
                      <w:color w:val="000000"/>
                      <w:lang w:eastAsia="en-GB"/>
                    </w:rPr>
                    <w:t>£0.12</w:t>
                  </w:r>
                </w:p>
              </w:tc>
            </w:tr>
            <w:tr w:rsidR="00071D48" w:rsidRPr="00071D48" w14:paraId="5C86099C" w14:textId="77777777" w:rsidTr="00071D48">
              <w:trPr>
                <w:trHeight w:val="620"/>
              </w:trPr>
              <w:tc>
                <w:tcPr>
                  <w:tcW w:w="1672" w:type="pct"/>
                  <w:tcBorders>
                    <w:top w:val="nil"/>
                    <w:left w:val="single" w:sz="4" w:space="0" w:color="auto"/>
                    <w:bottom w:val="single" w:sz="4" w:space="0" w:color="auto"/>
                    <w:right w:val="single" w:sz="4" w:space="0" w:color="auto"/>
                  </w:tcBorders>
                  <w:shd w:val="clear" w:color="auto" w:fill="auto"/>
                  <w:vAlign w:val="center"/>
                  <w:hideMark/>
                </w:tcPr>
                <w:p w14:paraId="1D4235C1" w14:textId="77777777" w:rsidR="00071D48" w:rsidRPr="00071D48" w:rsidRDefault="00071D48" w:rsidP="00071D48">
                  <w:pPr>
                    <w:spacing w:after="0" w:line="240" w:lineRule="auto"/>
                    <w:rPr>
                      <w:rFonts w:ascii="Calibri" w:eastAsia="Times New Roman" w:hAnsi="Calibri" w:cs="Calibri"/>
                      <w:color w:val="000000"/>
                      <w:sz w:val="24"/>
                      <w:szCs w:val="24"/>
                      <w:lang w:eastAsia="en-GB"/>
                    </w:rPr>
                  </w:pPr>
                  <w:r w:rsidRPr="00071D48">
                    <w:rPr>
                      <w:rFonts w:ascii="Calibri" w:eastAsia="Times New Roman" w:hAnsi="Calibri" w:cs="Calibri"/>
                      <w:color w:val="000000"/>
                      <w:sz w:val="24"/>
                      <w:szCs w:val="24"/>
                      <w:lang w:eastAsia="en-GB"/>
                    </w:rPr>
                    <w:t>Registration Fees (including DBS checks)</w:t>
                  </w:r>
                </w:p>
              </w:tc>
              <w:tc>
                <w:tcPr>
                  <w:tcW w:w="1246" w:type="pct"/>
                  <w:tcBorders>
                    <w:top w:val="nil"/>
                    <w:left w:val="nil"/>
                    <w:bottom w:val="single" w:sz="4" w:space="0" w:color="auto"/>
                    <w:right w:val="single" w:sz="4" w:space="0" w:color="auto"/>
                  </w:tcBorders>
                  <w:shd w:val="clear" w:color="000000" w:fill="D9D9D9"/>
                  <w:noWrap/>
                  <w:vAlign w:val="bottom"/>
                  <w:hideMark/>
                </w:tcPr>
                <w:p w14:paraId="1014E7A3"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£0.02</w:t>
                  </w:r>
                </w:p>
              </w:tc>
              <w:tc>
                <w:tcPr>
                  <w:tcW w:w="836" w:type="pct"/>
                  <w:tcBorders>
                    <w:top w:val="nil"/>
                    <w:left w:val="nil"/>
                    <w:bottom w:val="single" w:sz="4" w:space="0" w:color="auto"/>
                    <w:right w:val="single" w:sz="4" w:space="0" w:color="auto"/>
                  </w:tcBorders>
                  <w:shd w:val="clear" w:color="000000" w:fill="D9D9D9"/>
                  <w:noWrap/>
                  <w:vAlign w:val="bottom"/>
                  <w:hideMark/>
                </w:tcPr>
                <w:p w14:paraId="0D070660"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0.00511509</w:t>
                  </w:r>
                </w:p>
              </w:tc>
              <w:tc>
                <w:tcPr>
                  <w:tcW w:w="1246" w:type="pct"/>
                  <w:tcBorders>
                    <w:top w:val="nil"/>
                    <w:left w:val="nil"/>
                    <w:bottom w:val="single" w:sz="4" w:space="0" w:color="auto"/>
                    <w:right w:val="single" w:sz="4" w:space="0" w:color="auto"/>
                  </w:tcBorders>
                  <w:shd w:val="clear" w:color="000000" w:fill="92D050"/>
                  <w:noWrap/>
                  <w:vAlign w:val="bottom"/>
                  <w:hideMark/>
                </w:tcPr>
                <w:p w14:paraId="618C4027" w14:textId="77777777" w:rsidR="00071D48" w:rsidRPr="00071D48" w:rsidRDefault="00071D48" w:rsidP="00071D48">
                  <w:pPr>
                    <w:spacing w:after="0" w:line="240" w:lineRule="auto"/>
                    <w:jc w:val="center"/>
                    <w:rPr>
                      <w:rFonts w:ascii="Calibri" w:eastAsia="Times New Roman" w:hAnsi="Calibri" w:cs="Calibri"/>
                      <w:color w:val="000000"/>
                      <w:lang w:eastAsia="en-GB"/>
                    </w:rPr>
                  </w:pPr>
                  <w:r w:rsidRPr="00071D48">
                    <w:rPr>
                      <w:rFonts w:ascii="Calibri" w:eastAsia="Times New Roman" w:hAnsi="Calibri" w:cs="Calibri"/>
                      <w:color w:val="000000"/>
                      <w:lang w:eastAsia="en-GB"/>
                    </w:rPr>
                    <w:t>£0.02</w:t>
                  </w:r>
                </w:p>
              </w:tc>
            </w:tr>
            <w:tr w:rsidR="00071D48" w:rsidRPr="00071D48" w14:paraId="7846CC62" w14:textId="77777777" w:rsidTr="00071D48">
              <w:trPr>
                <w:trHeight w:val="310"/>
              </w:trPr>
              <w:tc>
                <w:tcPr>
                  <w:tcW w:w="1672" w:type="pct"/>
                  <w:tcBorders>
                    <w:top w:val="nil"/>
                    <w:left w:val="single" w:sz="4" w:space="0" w:color="auto"/>
                    <w:bottom w:val="single" w:sz="4" w:space="0" w:color="auto"/>
                    <w:right w:val="single" w:sz="4" w:space="0" w:color="auto"/>
                  </w:tcBorders>
                  <w:shd w:val="clear" w:color="auto" w:fill="auto"/>
                  <w:vAlign w:val="center"/>
                  <w:hideMark/>
                </w:tcPr>
                <w:p w14:paraId="1D2B7FAA" w14:textId="77777777" w:rsidR="00071D48" w:rsidRPr="00071D48" w:rsidRDefault="00071D48" w:rsidP="00071D48">
                  <w:pPr>
                    <w:spacing w:after="0" w:line="240" w:lineRule="auto"/>
                    <w:rPr>
                      <w:rFonts w:ascii="Calibri" w:eastAsia="Times New Roman" w:hAnsi="Calibri" w:cs="Calibri"/>
                      <w:color w:val="000000"/>
                      <w:sz w:val="24"/>
                      <w:szCs w:val="24"/>
                      <w:lang w:eastAsia="en-GB"/>
                    </w:rPr>
                  </w:pPr>
                  <w:r w:rsidRPr="00071D48">
                    <w:rPr>
                      <w:rFonts w:ascii="Calibri" w:eastAsia="Times New Roman" w:hAnsi="Calibri" w:cs="Calibri"/>
                      <w:color w:val="000000"/>
                      <w:sz w:val="24"/>
                      <w:szCs w:val="24"/>
                      <w:lang w:eastAsia="en-GB"/>
                    </w:rPr>
                    <w:t>Recruitment</w:t>
                  </w:r>
                </w:p>
              </w:tc>
              <w:tc>
                <w:tcPr>
                  <w:tcW w:w="1246" w:type="pct"/>
                  <w:tcBorders>
                    <w:top w:val="nil"/>
                    <w:left w:val="nil"/>
                    <w:bottom w:val="single" w:sz="4" w:space="0" w:color="auto"/>
                    <w:right w:val="single" w:sz="4" w:space="0" w:color="auto"/>
                  </w:tcBorders>
                  <w:shd w:val="clear" w:color="000000" w:fill="D9D9D9"/>
                  <w:noWrap/>
                  <w:vAlign w:val="bottom"/>
                  <w:hideMark/>
                </w:tcPr>
                <w:p w14:paraId="28CD5601"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£0.09</w:t>
                  </w:r>
                </w:p>
              </w:tc>
              <w:tc>
                <w:tcPr>
                  <w:tcW w:w="836" w:type="pct"/>
                  <w:tcBorders>
                    <w:top w:val="nil"/>
                    <w:left w:val="nil"/>
                    <w:bottom w:val="single" w:sz="4" w:space="0" w:color="auto"/>
                    <w:right w:val="single" w:sz="4" w:space="0" w:color="auto"/>
                  </w:tcBorders>
                  <w:shd w:val="clear" w:color="000000" w:fill="D9D9D9"/>
                  <w:noWrap/>
                  <w:vAlign w:val="bottom"/>
                  <w:hideMark/>
                </w:tcPr>
                <w:p w14:paraId="68693582"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0.028132992</w:t>
                  </w:r>
                </w:p>
              </w:tc>
              <w:tc>
                <w:tcPr>
                  <w:tcW w:w="1246" w:type="pct"/>
                  <w:tcBorders>
                    <w:top w:val="nil"/>
                    <w:left w:val="nil"/>
                    <w:bottom w:val="single" w:sz="4" w:space="0" w:color="auto"/>
                    <w:right w:val="single" w:sz="4" w:space="0" w:color="auto"/>
                  </w:tcBorders>
                  <w:shd w:val="clear" w:color="000000" w:fill="92D050"/>
                  <w:noWrap/>
                  <w:vAlign w:val="bottom"/>
                  <w:hideMark/>
                </w:tcPr>
                <w:p w14:paraId="2736B191" w14:textId="77777777" w:rsidR="00071D48" w:rsidRPr="00071D48" w:rsidRDefault="00071D48" w:rsidP="00071D48">
                  <w:pPr>
                    <w:spacing w:after="0" w:line="240" w:lineRule="auto"/>
                    <w:jc w:val="center"/>
                    <w:rPr>
                      <w:rFonts w:ascii="Calibri" w:eastAsia="Times New Roman" w:hAnsi="Calibri" w:cs="Calibri"/>
                      <w:color w:val="000000"/>
                      <w:lang w:eastAsia="en-GB"/>
                    </w:rPr>
                  </w:pPr>
                  <w:r w:rsidRPr="00071D48">
                    <w:rPr>
                      <w:rFonts w:ascii="Calibri" w:eastAsia="Times New Roman" w:hAnsi="Calibri" w:cs="Calibri"/>
                      <w:color w:val="000000"/>
                      <w:lang w:eastAsia="en-GB"/>
                    </w:rPr>
                    <w:t>£0.11</w:t>
                  </w:r>
                </w:p>
              </w:tc>
            </w:tr>
            <w:tr w:rsidR="00071D48" w:rsidRPr="00071D48" w14:paraId="4FAFB868" w14:textId="77777777" w:rsidTr="00071D48">
              <w:trPr>
                <w:trHeight w:val="620"/>
              </w:trPr>
              <w:tc>
                <w:tcPr>
                  <w:tcW w:w="1672" w:type="pct"/>
                  <w:tcBorders>
                    <w:top w:val="nil"/>
                    <w:left w:val="single" w:sz="4" w:space="0" w:color="auto"/>
                    <w:bottom w:val="single" w:sz="4" w:space="0" w:color="auto"/>
                    <w:right w:val="single" w:sz="4" w:space="0" w:color="auto"/>
                  </w:tcBorders>
                  <w:shd w:val="clear" w:color="auto" w:fill="auto"/>
                  <w:vAlign w:val="center"/>
                  <w:hideMark/>
                </w:tcPr>
                <w:p w14:paraId="4F1BBB18" w14:textId="77777777" w:rsidR="00071D48" w:rsidRPr="00071D48" w:rsidRDefault="00071D48" w:rsidP="00071D48">
                  <w:pPr>
                    <w:spacing w:after="0" w:line="240" w:lineRule="auto"/>
                    <w:rPr>
                      <w:rFonts w:ascii="Calibri" w:eastAsia="Times New Roman" w:hAnsi="Calibri" w:cs="Calibri"/>
                      <w:color w:val="000000"/>
                      <w:sz w:val="24"/>
                      <w:szCs w:val="24"/>
                      <w:lang w:eastAsia="en-GB"/>
                    </w:rPr>
                  </w:pPr>
                  <w:r w:rsidRPr="00071D48">
                    <w:rPr>
                      <w:rFonts w:ascii="Calibri" w:eastAsia="Times New Roman" w:hAnsi="Calibri" w:cs="Calibri"/>
                      <w:color w:val="000000"/>
                      <w:sz w:val="24"/>
                      <w:szCs w:val="24"/>
                      <w:lang w:eastAsia="en-GB"/>
                    </w:rPr>
                    <w:t>IT and Communications (e.g. mobile phone)</w:t>
                  </w:r>
                </w:p>
              </w:tc>
              <w:tc>
                <w:tcPr>
                  <w:tcW w:w="1246" w:type="pct"/>
                  <w:tcBorders>
                    <w:top w:val="nil"/>
                    <w:left w:val="nil"/>
                    <w:bottom w:val="single" w:sz="4" w:space="0" w:color="auto"/>
                    <w:right w:val="single" w:sz="4" w:space="0" w:color="auto"/>
                  </w:tcBorders>
                  <w:shd w:val="clear" w:color="000000" w:fill="D9D9D9"/>
                  <w:noWrap/>
                  <w:vAlign w:val="bottom"/>
                  <w:hideMark/>
                </w:tcPr>
                <w:p w14:paraId="75E56C58"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£0.16</w:t>
                  </w:r>
                </w:p>
              </w:tc>
              <w:tc>
                <w:tcPr>
                  <w:tcW w:w="836" w:type="pct"/>
                  <w:tcBorders>
                    <w:top w:val="nil"/>
                    <w:left w:val="nil"/>
                    <w:bottom w:val="single" w:sz="4" w:space="0" w:color="auto"/>
                    <w:right w:val="single" w:sz="4" w:space="0" w:color="auto"/>
                  </w:tcBorders>
                  <w:shd w:val="clear" w:color="000000" w:fill="D9D9D9"/>
                  <w:noWrap/>
                  <w:vAlign w:val="bottom"/>
                  <w:hideMark/>
                </w:tcPr>
                <w:p w14:paraId="7D7A69FF"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0.051150895</w:t>
                  </w:r>
                </w:p>
              </w:tc>
              <w:tc>
                <w:tcPr>
                  <w:tcW w:w="1246" w:type="pct"/>
                  <w:tcBorders>
                    <w:top w:val="nil"/>
                    <w:left w:val="nil"/>
                    <w:bottom w:val="single" w:sz="4" w:space="0" w:color="auto"/>
                    <w:right w:val="single" w:sz="4" w:space="0" w:color="auto"/>
                  </w:tcBorders>
                  <w:shd w:val="clear" w:color="000000" w:fill="92D050"/>
                  <w:noWrap/>
                  <w:vAlign w:val="bottom"/>
                  <w:hideMark/>
                </w:tcPr>
                <w:p w14:paraId="5C41498E" w14:textId="77777777" w:rsidR="00071D48" w:rsidRPr="00071D48" w:rsidRDefault="00071D48" w:rsidP="00071D48">
                  <w:pPr>
                    <w:spacing w:after="0" w:line="240" w:lineRule="auto"/>
                    <w:jc w:val="center"/>
                    <w:rPr>
                      <w:rFonts w:ascii="Calibri" w:eastAsia="Times New Roman" w:hAnsi="Calibri" w:cs="Calibri"/>
                      <w:color w:val="000000"/>
                      <w:lang w:eastAsia="en-GB"/>
                    </w:rPr>
                  </w:pPr>
                  <w:r w:rsidRPr="00071D48">
                    <w:rPr>
                      <w:rFonts w:ascii="Calibri" w:eastAsia="Times New Roman" w:hAnsi="Calibri" w:cs="Calibri"/>
                      <w:color w:val="000000"/>
                      <w:lang w:eastAsia="en-GB"/>
                    </w:rPr>
                    <w:t>£0.20</w:t>
                  </w:r>
                </w:p>
              </w:tc>
            </w:tr>
            <w:tr w:rsidR="00071D48" w:rsidRPr="00071D48" w14:paraId="4C25CD89" w14:textId="77777777" w:rsidTr="00071D48">
              <w:trPr>
                <w:trHeight w:val="310"/>
              </w:trPr>
              <w:tc>
                <w:tcPr>
                  <w:tcW w:w="1672" w:type="pct"/>
                  <w:tcBorders>
                    <w:top w:val="nil"/>
                    <w:left w:val="single" w:sz="4" w:space="0" w:color="auto"/>
                    <w:bottom w:val="single" w:sz="4" w:space="0" w:color="auto"/>
                    <w:right w:val="single" w:sz="4" w:space="0" w:color="auto"/>
                  </w:tcBorders>
                  <w:shd w:val="clear" w:color="auto" w:fill="auto"/>
                  <w:vAlign w:val="center"/>
                  <w:hideMark/>
                </w:tcPr>
                <w:p w14:paraId="2342563C" w14:textId="77777777" w:rsidR="00071D48" w:rsidRPr="00071D48" w:rsidRDefault="00071D48" w:rsidP="00071D48">
                  <w:pPr>
                    <w:spacing w:after="0" w:line="240" w:lineRule="auto"/>
                    <w:rPr>
                      <w:rFonts w:ascii="Calibri" w:eastAsia="Times New Roman" w:hAnsi="Calibri" w:cs="Calibri"/>
                      <w:color w:val="000000"/>
                      <w:sz w:val="24"/>
                      <w:szCs w:val="24"/>
                      <w:lang w:eastAsia="en-GB"/>
                    </w:rPr>
                  </w:pPr>
                  <w:r w:rsidRPr="00071D48">
                    <w:rPr>
                      <w:rFonts w:ascii="Calibri" w:eastAsia="Times New Roman" w:hAnsi="Calibri" w:cs="Calibri"/>
                      <w:color w:val="000000"/>
                      <w:sz w:val="24"/>
                      <w:szCs w:val="24"/>
                      <w:lang w:eastAsia="en-GB"/>
                    </w:rPr>
                    <w:t>Administration</w:t>
                  </w:r>
                </w:p>
              </w:tc>
              <w:tc>
                <w:tcPr>
                  <w:tcW w:w="1246" w:type="pct"/>
                  <w:tcBorders>
                    <w:top w:val="nil"/>
                    <w:left w:val="nil"/>
                    <w:bottom w:val="single" w:sz="4" w:space="0" w:color="auto"/>
                    <w:right w:val="single" w:sz="4" w:space="0" w:color="auto"/>
                  </w:tcBorders>
                  <w:shd w:val="clear" w:color="000000" w:fill="D9D9D9"/>
                  <w:noWrap/>
                  <w:vAlign w:val="bottom"/>
                  <w:hideMark/>
                </w:tcPr>
                <w:p w14:paraId="42F2F737"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£0.75</w:t>
                  </w:r>
                </w:p>
              </w:tc>
              <w:tc>
                <w:tcPr>
                  <w:tcW w:w="836" w:type="pct"/>
                  <w:tcBorders>
                    <w:top w:val="nil"/>
                    <w:left w:val="nil"/>
                    <w:bottom w:val="single" w:sz="4" w:space="0" w:color="auto"/>
                    <w:right w:val="single" w:sz="4" w:space="0" w:color="auto"/>
                  </w:tcBorders>
                  <w:shd w:val="clear" w:color="000000" w:fill="D9D9D9"/>
                  <w:noWrap/>
                  <w:vAlign w:val="bottom"/>
                  <w:hideMark/>
                </w:tcPr>
                <w:p w14:paraId="7E02D464"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0.248081841</w:t>
                  </w:r>
                </w:p>
              </w:tc>
              <w:tc>
                <w:tcPr>
                  <w:tcW w:w="1246" w:type="pct"/>
                  <w:tcBorders>
                    <w:top w:val="nil"/>
                    <w:left w:val="nil"/>
                    <w:bottom w:val="single" w:sz="4" w:space="0" w:color="auto"/>
                    <w:right w:val="single" w:sz="4" w:space="0" w:color="auto"/>
                  </w:tcBorders>
                  <w:shd w:val="clear" w:color="000000" w:fill="92D050"/>
                  <w:noWrap/>
                  <w:vAlign w:val="bottom"/>
                  <w:hideMark/>
                </w:tcPr>
                <w:p w14:paraId="4D9AF13F" w14:textId="77777777" w:rsidR="00071D48" w:rsidRPr="00071D48" w:rsidRDefault="00071D48" w:rsidP="00071D48">
                  <w:pPr>
                    <w:spacing w:after="0" w:line="240" w:lineRule="auto"/>
                    <w:jc w:val="center"/>
                    <w:rPr>
                      <w:rFonts w:ascii="Calibri" w:eastAsia="Times New Roman" w:hAnsi="Calibri" w:cs="Calibri"/>
                      <w:color w:val="000000"/>
                      <w:lang w:eastAsia="en-GB"/>
                    </w:rPr>
                  </w:pPr>
                  <w:r w:rsidRPr="00071D48">
                    <w:rPr>
                      <w:rFonts w:ascii="Calibri" w:eastAsia="Times New Roman" w:hAnsi="Calibri" w:cs="Calibri"/>
                      <w:color w:val="000000"/>
                      <w:lang w:eastAsia="en-GB"/>
                    </w:rPr>
                    <w:t>£0.97</w:t>
                  </w:r>
                </w:p>
              </w:tc>
            </w:tr>
            <w:tr w:rsidR="00071D48" w:rsidRPr="00071D48" w14:paraId="0AE9B8ED" w14:textId="77777777" w:rsidTr="00071D48">
              <w:trPr>
                <w:trHeight w:val="620"/>
              </w:trPr>
              <w:tc>
                <w:tcPr>
                  <w:tcW w:w="1672" w:type="pct"/>
                  <w:tcBorders>
                    <w:top w:val="nil"/>
                    <w:left w:val="single" w:sz="4" w:space="0" w:color="auto"/>
                    <w:bottom w:val="single" w:sz="4" w:space="0" w:color="auto"/>
                    <w:right w:val="single" w:sz="4" w:space="0" w:color="auto"/>
                  </w:tcBorders>
                  <w:shd w:val="clear" w:color="auto" w:fill="auto"/>
                  <w:vAlign w:val="center"/>
                  <w:hideMark/>
                </w:tcPr>
                <w:p w14:paraId="614ADDD4" w14:textId="77777777" w:rsidR="00071D48" w:rsidRPr="00071D48" w:rsidRDefault="00071D48" w:rsidP="00071D48">
                  <w:pPr>
                    <w:spacing w:after="0" w:line="240" w:lineRule="auto"/>
                    <w:rPr>
                      <w:rFonts w:ascii="Calibri" w:eastAsia="Times New Roman" w:hAnsi="Calibri" w:cs="Calibri"/>
                      <w:color w:val="000000"/>
                      <w:sz w:val="24"/>
                      <w:szCs w:val="24"/>
                      <w:lang w:eastAsia="en-GB"/>
                    </w:rPr>
                  </w:pPr>
                  <w:r w:rsidRPr="00071D48">
                    <w:rPr>
                      <w:rFonts w:ascii="Calibri" w:eastAsia="Times New Roman" w:hAnsi="Calibri" w:cs="Calibri"/>
                      <w:color w:val="000000"/>
                      <w:sz w:val="24"/>
                      <w:szCs w:val="24"/>
                      <w:lang w:eastAsia="en-GB"/>
                    </w:rPr>
                    <w:t>Roster Management Tool/Electronic Monitoring</w:t>
                  </w:r>
                </w:p>
              </w:tc>
              <w:tc>
                <w:tcPr>
                  <w:tcW w:w="1246" w:type="pct"/>
                  <w:tcBorders>
                    <w:top w:val="nil"/>
                    <w:left w:val="nil"/>
                    <w:bottom w:val="single" w:sz="4" w:space="0" w:color="auto"/>
                    <w:right w:val="single" w:sz="4" w:space="0" w:color="auto"/>
                  </w:tcBorders>
                  <w:shd w:val="clear" w:color="000000" w:fill="D9D9D9"/>
                  <w:noWrap/>
                  <w:vAlign w:val="bottom"/>
                  <w:hideMark/>
                </w:tcPr>
                <w:p w14:paraId="102CFEC9"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£0.04</w:t>
                  </w:r>
                </w:p>
              </w:tc>
              <w:tc>
                <w:tcPr>
                  <w:tcW w:w="836" w:type="pct"/>
                  <w:tcBorders>
                    <w:top w:val="nil"/>
                    <w:left w:val="nil"/>
                    <w:bottom w:val="single" w:sz="4" w:space="0" w:color="auto"/>
                    <w:right w:val="single" w:sz="4" w:space="0" w:color="auto"/>
                  </w:tcBorders>
                  <w:shd w:val="clear" w:color="000000" w:fill="D9D9D9"/>
                  <w:noWrap/>
                  <w:vAlign w:val="bottom"/>
                  <w:hideMark/>
                </w:tcPr>
                <w:p w14:paraId="293726A9"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0.012787724</w:t>
                  </w:r>
                </w:p>
              </w:tc>
              <w:tc>
                <w:tcPr>
                  <w:tcW w:w="1246" w:type="pct"/>
                  <w:tcBorders>
                    <w:top w:val="nil"/>
                    <w:left w:val="nil"/>
                    <w:bottom w:val="single" w:sz="4" w:space="0" w:color="auto"/>
                    <w:right w:val="single" w:sz="4" w:space="0" w:color="auto"/>
                  </w:tcBorders>
                  <w:shd w:val="clear" w:color="000000" w:fill="92D050"/>
                  <w:noWrap/>
                  <w:vAlign w:val="bottom"/>
                  <w:hideMark/>
                </w:tcPr>
                <w:p w14:paraId="43D2D95E" w14:textId="77777777" w:rsidR="00071D48" w:rsidRPr="00071D48" w:rsidRDefault="00071D48" w:rsidP="00071D48">
                  <w:pPr>
                    <w:spacing w:after="0" w:line="240" w:lineRule="auto"/>
                    <w:jc w:val="center"/>
                    <w:rPr>
                      <w:rFonts w:ascii="Calibri" w:eastAsia="Times New Roman" w:hAnsi="Calibri" w:cs="Calibri"/>
                      <w:color w:val="000000"/>
                      <w:lang w:eastAsia="en-GB"/>
                    </w:rPr>
                  </w:pPr>
                  <w:r w:rsidRPr="00071D48">
                    <w:rPr>
                      <w:rFonts w:ascii="Calibri" w:eastAsia="Times New Roman" w:hAnsi="Calibri" w:cs="Calibri"/>
                      <w:color w:val="000000"/>
                      <w:lang w:eastAsia="en-GB"/>
                    </w:rPr>
                    <w:t>£0.05</w:t>
                  </w:r>
                </w:p>
              </w:tc>
            </w:tr>
            <w:tr w:rsidR="00071D48" w:rsidRPr="00071D48" w14:paraId="3D170B4A" w14:textId="77777777" w:rsidTr="00071D48">
              <w:trPr>
                <w:trHeight w:val="310"/>
              </w:trPr>
              <w:tc>
                <w:tcPr>
                  <w:tcW w:w="1672" w:type="pct"/>
                  <w:tcBorders>
                    <w:top w:val="nil"/>
                    <w:left w:val="single" w:sz="4" w:space="0" w:color="auto"/>
                    <w:bottom w:val="single" w:sz="4" w:space="0" w:color="auto"/>
                    <w:right w:val="single" w:sz="4" w:space="0" w:color="auto"/>
                  </w:tcBorders>
                  <w:shd w:val="clear" w:color="auto" w:fill="auto"/>
                  <w:vAlign w:val="center"/>
                  <w:hideMark/>
                </w:tcPr>
                <w:p w14:paraId="43682467" w14:textId="77777777" w:rsidR="00071D48" w:rsidRPr="00071D48" w:rsidRDefault="00071D48" w:rsidP="00071D48">
                  <w:pPr>
                    <w:spacing w:after="0" w:line="240" w:lineRule="auto"/>
                    <w:rPr>
                      <w:rFonts w:ascii="Calibri" w:eastAsia="Times New Roman" w:hAnsi="Calibri" w:cs="Calibri"/>
                      <w:color w:val="000000"/>
                      <w:sz w:val="24"/>
                      <w:szCs w:val="24"/>
                      <w:lang w:eastAsia="en-GB"/>
                    </w:rPr>
                  </w:pPr>
                  <w:r w:rsidRPr="00071D48">
                    <w:rPr>
                      <w:rFonts w:ascii="Calibri" w:eastAsia="Times New Roman" w:hAnsi="Calibri" w:cs="Calibri"/>
                      <w:color w:val="000000"/>
                      <w:sz w:val="24"/>
                      <w:szCs w:val="24"/>
                      <w:lang w:eastAsia="en-GB"/>
                    </w:rPr>
                    <w:t>Central/Regional Management</w:t>
                  </w:r>
                </w:p>
              </w:tc>
              <w:tc>
                <w:tcPr>
                  <w:tcW w:w="1246" w:type="pct"/>
                  <w:tcBorders>
                    <w:top w:val="nil"/>
                    <w:left w:val="nil"/>
                    <w:bottom w:val="single" w:sz="4" w:space="0" w:color="auto"/>
                    <w:right w:val="single" w:sz="4" w:space="0" w:color="auto"/>
                  </w:tcBorders>
                  <w:shd w:val="clear" w:color="000000" w:fill="D9D9D9"/>
                  <w:noWrap/>
                  <w:vAlign w:val="bottom"/>
                  <w:hideMark/>
                </w:tcPr>
                <w:p w14:paraId="0D496820"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£0.40</w:t>
                  </w:r>
                </w:p>
              </w:tc>
              <w:tc>
                <w:tcPr>
                  <w:tcW w:w="836" w:type="pct"/>
                  <w:tcBorders>
                    <w:top w:val="nil"/>
                    <w:left w:val="nil"/>
                    <w:bottom w:val="single" w:sz="4" w:space="0" w:color="auto"/>
                    <w:right w:val="single" w:sz="4" w:space="0" w:color="auto"/>
                  </w:tcBorders>
                  <w:shd w:val="clear" w:color="000000" w:fill="D9D9D9"/>
                  <w:noWrap/>
                  <w:vAlign w:val="bottom"/>
                  <w:hideMark/>
                </w:tcPr>
                <w:p w14:paraId="542C4BE5"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0.132992327</w:t>
                  </w:r>
                </w:p>
              </w:tc>
              <w:tc>
                <w:tcPr>
                  <w:tcW w:w="1246" w:type="pct"/>
                  <w:tcBorders>
                    <w:top w:val="nil"/>
                    <w:left w:val="nil"/>
                    <w:bottom w:val="single" w:sz="4" w:space="0" w:color="auto"/>
                    <w:right w:val="single" w:sz="4" w:space="0" w:color="auto"/>
                  </w:tcBorders>
                  <w:shd w:val="clear" w:color="000000" w:fill="92D050"/>
                  <w:noWrap/>
                  <w:vAlign w:val="bottom"/>
                  <w:hideMark/>
                </w:tcPr>
                <w:p w14:paraId="426879D7" w14:textId="77777777" w:rsidR="00071D48" w:rsidRPr="00071D48" w:rsidRDefault="00071D48" w:rsidP="00071D48">
                  <w:pPr>
                    <w:spacing w:after="0" w:line="240" w:lineRule="auto"/>
                    <w:jc w:val="center"/>
                    <w:rPr>
                      <w:rFonts w:ascii="Calibri" w:eastAsia="Times New Roman" w:hAnsi="Calibri" w:cs="Calibri"/>
                      <w:color w:val="000000"/>
                      <w:lang w:eastAsia="en-GB"/>
                    </w:rPr>
                  </w:pPr>
                  <w:r w:rsidRPr="00071D48">
                    <w:rPr>
                      <w:rFonts w:ascii="Calibri" w:eastAsia="Times New Roman" w:hAnsi="Calibri" w:cs="Calibri"/>
                      <w:color w:val="000000"/>
                      <w:lang w:eastAsia="en-GB"/>
                    </w:rPr>
                    <w:t>£0.52</w:t>
                  </w:r>
                </w:p>
              </w:tc>
            </w:tr>
            <w:tr w:rsidR="00071D48" w:rsidRPr="00071D48" w14:paraId="666E439E" w14:textId="77777777" w:rsidTr="00071D48">
              <w:trPr>
                <w:trHeight w:val="310"/>
              </w:trPr>
              <w:tc>
                <w:tcPr>
                  <w:tcW w:w="1672" w:type="pct"/>
                  <w:tcBorders>
                    <w:top w:val="nil"/>
                    <w:left w:val="single" w:sz="4" w:space="0" w:color="auto"/>
                    <w:bottom w:val="single" w:sz="4" w:space="0" w:color="auto"/>
                    <w:right w:val="single" w:sz="4" w:space="0" w:color="auto"/>
                  </w:tcBorders>
                  <w:shd w:val="clear" w:color="auto" w:fill="auto"/>
                  <w:vAlign w:val="center"/>
                  <w:hideMark/>
                </w:tcPr>
                <w:p w14:paraId="3818FC16" w14:textId="77777777" w:rsidR="00071D48" w:rsidRPr="00071D48" w:rsidRDefault="00071D48" w:rsidP="00071D48">
                  <w:pPr>
                    <w:spacing w:after="0" w:line="240" w:lineRule="auto"/>
                    <w:rPr>
                      <w:rFonts w:ascii="Calibri" w:eastAsia="Times New Roman" w:hAnsi="Calibri" w:cs="Calibri"/>
                      <w:color w:val="000000"/>
                      <w:sz w:val="24"/>
                      <w:szCs w:val="24"/>
                      <w:lang w:eastAsia="en-GB"/>
                    </w:rPr>
                  </w:pPr>
                  <w:r w:rsidRPr="00071D48">
                    <w:rPr>
                      <w:rFonts w:ascii="Calibri" w:eastAsia="Times New Roman" w:hAnsi="Calibri" w:cs="Calibri"/>
                      <w:color w:val="000000"/>
                      <w:sz w:val="24"/>
                      <w:szCs w:val="24"/>
                      <w:lang w:eastAsia="en-GB"/>
                    </w:rPr>
                    <w:t>Support services</w:t>
                  </w:r>
                </w:p>
              </w:tc>
              <w:tc>
                <w:tcPr>
                  <w:tcW w:w="1246" w:type="pct"/>
                  <w:tcBorders>
                    <w:top w:val="nil"/>
                    <w:left w:val="nil"/>
                    <w:bottom w:val="single" w:sz="4" w:space="0" w:color="auto"/>
                    <w:right w:val="single" w:sz="4" w:space="0" w:color="auto"/>
                  </w:tcBorders>
                  <w:shd w:val="clear" w:color="000000" w:fill="D9D9D9"/>
                  <w:noWrap/>
                  <w:vAlign w:val="bottom"/>
                  <w:hideMark/>
                </w:tcPr>
                <w:p w14:paraId="318BA88B"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£0.47</w:t>
                  </w:r>
                </w:p>
              </w:tc>
              <w:tc>
                <w:tcPr>
                  <w:tcW w:w="836" w:type="pct"/>
                  <w:tcBorders>
                    <w:top w:val="nil"/>
                    <w:left w:val="nil"/>
                    <w:bottom w:val="single" w:sz="4" w:space="0" w:color="auto"/>
                    <w:right w:val="single" w:sz="4" w:space="0" w:color="auto"/>
                  </w:tcBorders>
                  <w:shd w:val="clear" w:color="000000" w:fill="D9D9D9"/>
                  <w:noWrap/>
                  <w:vAlign w:val="bottom"/>
                  <w:hideMark/>
                </w:tcPr>
                <w:p w14:paraId="55CD9A16"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0.153452685</w:t>
                  </w:r>
                </w:p>
              </w:tc>
              <w:tc>
                <w:tcPr>
                  <w:tcW w:w="1246" w:type="pct"/>
                  <w:tcBorders>
                    <w:top w:val="nil"/>
                    <w:left w:val="nil"/>
                    <w:bottom w:val="single" w:sz="4" w:space="0" w:color="auto"/>
                    <w:right w:val="single" w:sz="4" w:space="0" w:color="auto"/>
                  </w:tcBorders>
                  <w:shd w:val="clear" w:color="000000" w:fill="92D050"/>
                  <w:noWrap/>
                  <w:vAlign w:val="bottom"/>
                  <w:hideMark/>
                </w:tcPr>
                <w:p w14:paraId="4B9D23AB" w14:textId="77777777" w:rsidR="00071D48" w:rsidRPr="00071D48" w:rsidRDefault="00071D48" w:rsidP="00071D48">
                  <w:pPr>
                    <w:spacing w:after="0" w:line="240" w:lineRule="auto"/>
                    <w:jc w:val="center"/>
                    <w:rPr>
                      <w:rFonts w:ascii="Calibri" w:eastAsia="Times New Roman" w:hAnsi="Calibri" w:cs="Calibri"/>
                      <w:color w:val="000000"/>
                      <w:lang w:eastAsia="en-GB"/>
                    </w:rPr>
                  </w:pPr>
                  <w:r w:rsidRPr="00071D48">
                    <w:rPr>
                      <w:rFonts w:ascii="Calibri" w:eastAsia="Times New Roman" w:hAnsi="Calibri" w:cs="Calibri"/>
                      <w:color w:val="000000"/>
                      <w:lang w:eastAsia="en-GB"/>
                    </w:rPr>
                    <w:t>£0.60</w:t>
                  </w:r>
                </w:p>
              </w:tc>
            </w:tr>
            <w:tr w:rsidR="00071D48" w:rsidRPr="00071D48" w14:paraId="45FF0473" w14:textId="77777777" w:rsidTr="00071D48">
              <w:trPr>
                <w:trHeight w:val="310"/>
              </w:trPr>
              <w:tc>
                <w:tcPr>
                  <w:tcW w:w="1672" w:type="pct"/>
                  <w:tcBorders>
                    <w:top w:val="nil"/>
                    <w:left w:val="single" w:sz="4" w:space="0" w:color="auto"/>
                    <w:bottom w:val="single" w:sz="4" w:space="0" w:color="auto"/>
                    <w:right w:val="single" w:sz="4" w:space="0" w:color="auto"/>
                  </w:tcBorders>
                  <w:shd w:val="clear" w:color="auto" w:fill="auto"/>
                  <w:vAlign w:val="center"/>
                  <w:hideMark/>
                </w:tcPr>
                <w:p w14:paraId="2F24DED7" w14:textId="77777777" w:rsidR="00071D48" w:rsidRPr="00071D48" w:rsidRDefault="00071D48" w:rsidP="00071D48">
                  <w:pPr>
                    <w:spacing w:after="0" w:line="240" w:lineRule="auto"/>
                    <w:rPr>
                      <w:rFonts w:ascii="Calibri" w:eastAsia="Times New Roman" w:hAnsi="Calibri" w:cs="Calibri"/>
                      <w:color w:val="000000"/>
                      <w:sz w:val="24"/>
                      <w:szCs w:val="24"/>
                      <w:lang w:eastAsia="en-GB"/>
                    </w:rPr>
                  </w:pPr>
                  <w:r w:rsidRPr="00071D48">
                    <w:rPr>
                      <w:rFonts w:ascii="Calibri" w:eastAsia="Times New Roman" w:hAnsi="Calibri" w:cs="Calibri"/>
                      <w:color w:val="000000"/>
                      <w:sz w:val="24"/>
                      <w:szCs w:val="24"/>
                      <w:lang w:eastAsia="en-GB"/>
                    </w:rPr>
                    <w:t>Premises</w:t>
                  </w:r>
                </w:p>
              </w:tc>
              <w:tc>
                <w:tcPr>
                  <w:tcW w:w="1246" w:type="pct"/>
                  <w:tcBorders>
                    <w:top w:val="nil"/>
                    <w:left w:val="nil"/>
                    <w:bottom w:val="single" w:sz="4" w:space="0" w:color="auto"/>
                    <w:right w:val="single" w:sz="4" w:space="0" w:color="auto"/>
                  </w:tcBorders>
                  <w:shd w:val="clear" w:color="000000" w:fill="D9D9D9"/>
                  <w:noWrap/>
                  <w:vAlign w:val="bottom"/>
                  <w:hideMark/>
                </w:tcPr>
                <w:p w14:paraId="34859ACC"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£0.24</w:t>
                  </w:r>
                </w:p>
              </w:tc>
              <w:tc>
                <w:tcPr>
                  <w:tcW w:w="836" w:type="pct"/>
                  <w:tcBorders>
                    <w:top w:val="nil"/>
                    <w:left w:val="nil"/>
                    <w:bottom w:val="single" w:sz="4" w:space="0" w:color="auto"/>
                    <w:right w:val="single" w:sz="4" w:space="0" w:color="auto"/>
                  </w:tcBorders>
                  <w:shd w:val="clear" w:color="000000" w:fill="D9D9D9"/>
                  <w:noWrap/>
                  <w:vAlign w:val="bottom"/>
                  <w:hideMark/>
                </w:tcPr>
                <w:p w14:paraId="049062E6"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0.079283887</w:t>
                  </w:r>
                </w:p>
              </w:tc>
              <w:tc>
                <w:tcPr>
                  <w:tcW w:w="1246" w:type="pct"/>
                  <w:tcBorders>
                    <w:top w:val="nil"/>
                    <w:left w:val="nil"/>
                    <w:bottom w:val="single" w:sz="4" w:space="0" w:color="auto"/>
                    <w:right w:val="single" w:sz="4" w:space="0" w:color="auto"/>
                  </w:tcBorders>
                  <w:shd w:val="clear" w:color="000000" w:fill="92D050"/>
                  <w:noWrap/>
                  <w:vAlign w:val="bottom"/>
                  <w:hideMark/>
                </w:tcPr>
                <w:p w14:paraId="322EBC6A" w14:textId="77777777" w:rsidR="00071D48" w:rsidRPr="00071D48" w:rsidRDefault="00071D48" w:rsidP="00071D48">
                  <w:pPr>
                    <w:spacing w:after="0" w:line="240" w:lineRule="auto"/>
                    <w:jc w:val="center"/>
                    <w:rPr>
                      <w:rFonts w:ascii="Calibri" w:eastAsia="Times New Roman" w:hAnsi="Calibri" w:cs="Calibri"/>
                      <w:color w:val="000000"/>
                      <w:lang w:eastAsia="en-GB"/>
                    </w:rPr>
                  </w:pPr>
                  <w:r w:rsidRPr="00071D48">
                    <w:rPr>
                      <w:rFonts w:ascii="Calibri" w:eastAsia="Times New Roman" w:hAnsi="Calibri" w:cs="Calibri"/>
                      <w:color w:val="000000"/>
                      <w:lang w:eastAsia="en-GB"/>
                    </w:rPr>
                    <w:t>£0.31</w:t>
                  </w:r>
                </w:p>
              </w:tc>
            </w:tr>
            <w:tr w:rsidR="00071D48" w:rsidRPr="00071D48" w14:paraId="05507445" w14:textId="77777777" w:rsidTr="00071D48">
              <w:trPr>
                <w:trHeight w:val="290"/>
              </w:trPr>
              <w:tc>
                <w:tcPr>
                  <w:tcW w:w="1672" w:type="pct"/>
                  <w:tcBorders>
                    <w:top w:val="nil"/>
                    <w:left w:val="single" w:sz="4" w:space="0" w:color="auto"/>
                    <w:bottom w:val="single" w:sz="4" w:space="0" w:color="auto"/>
                    <w:right w:val="single" w:sz="4" w:space="0" w:color="auto"/>
                  </w:tcBorders>
                  <w:shd w:val="clear" w:color="000000" w:fill="D9D9D9"/>
                  <w:noWrap/>
                  <w:vAlign w:val="bottom"/>
                  <w:hideMark/>
                </w:tcPr>
                <w:p w14:paraId="635A96BA" w14:textId="77777777" w:rsidR="00071D48" w:rsidRPr="00071D48" w:rsidRDefault="00071D48" w:rsidP="00071D48">
                  <w:pPr>
                    <w:spacing w:after="0" w:line="240" w:lineRule="auto"/>
                    <w:rPr>
                      <w:rFonts w:ascii="Calibri" w:eastAsia="Times New Roman" w:hAnsi="Calibri" w:cs="Calibri"/>
                      <w:b/>
                      <w:bCs/>
                      <w:color w:val="000000"/>
                      <w:lang w:eastAsia="en-GB"/>
                    </w:rPr>
                  </w:pPr>
                  <w:r w:rsidRPr="00071D48">
                    <w:rPr>
                      <w:rFonts w:ascii="Calibri" w:eastAsia="Times New Roman" w:hAnsi="Calibri" w:cs="Calibri"/>
                      <w:b/>
                      <w:bCs/>
                      <w:color w:val="000000"/>
                      <w:lang w:eastAsia="en-GB"/>
                    </w:rPr>
                    <w:t> </w:t>
                  </w:r>
                </w:p>
              </w:tc>
              <w:tc>
                <w:tcPr>
                  <w:tcW w:w="1246" w:type="pct"/>
                  <w:tcBorders>
                    <w:top w:val="nil"/>
                    <w:left w:val="nil"/>
                    <w:bottom w:val="single" w:sz="4" w:space="0" w:color="auto"/>
                    <w:right w:val="single" w:sz="4" w:space="0" w:color="auto"/>
                  </w:tcBorders>
                  <w:shd w:val="clear" w:color="000000" w:fill="D9D9D9"/>
                  <w:noWrap/>
                  <w:vAlign w:val="bottom"/>
                  <w:hideMark/>
                </w:tcPr>
                <w:p w14:paraId="25554D71"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£3.04</w:t>
                  </w:r>
                </w:p>
              </w:tc>
              <w:tc>
                <w:tcPr>
                  <w:tcW w:w="836" w:type="pct"/>
                  <w:tcBorders>
                    <w:top w:val="nil"/>
                    <w:left w:val="nil"/>
                    <w:bottom w:val="single" w:sz="4" w:space="0" w:color="auto"/>
                    <w:right w:val="single" w:sz="4" w:space="0" w:color="auto"/>
                  </w:tcBorders>
                  <w:shd w:val="clear" w:color="000000" w:fill="D9D9D9"/>
                  <w:noWrap/>
                  <w:vAlign w:val="bottom"/>
                  <w:hideMark/>
                </w:tcPr>
                <w:p w14:paraId="5488A2CB" w14:textId="77777777" w:rsidR="00071D48" w:rsidRPr="00071D48" w:rsidRDefault="00071D48" w:rsidP="00071D48">
                  <w:pPr>
                    <w:spacing w:after="0" w:line="240" w:lineRule="auto"/>
                    <w:jc w:val="center"/>
                    <w:rPr>
                      <w:rFonts w:ascii="Calibri" w:eastAsia="Times New Roman" w:hAnsi="Calibri" w:cs="Calibri"/>
                      <w:i/>
                      <w:iCs/>
                      <w:color w:val="000000"/>
                      <w:lang w:eastAsia="en-GB"/>
                    </w:rPr>
                  </w:pPr>
                  <w:r w:rsidRPr="00071D48">
                    <w:rPr>
                      <w:rFonts w:ascii="Calibri" w:eastAsia="Times New Roman" w:hAnsi="Calibri" w:cs="Calibri"/>
                      <w:i/>
                      <w:iCs/>
                      <w:color w:val="000000"/>
                      <w:lang w:eastAsia="en-GB"/>
                    </w:rPr>
                    <w:t>1</w:t>
                  </w:r>
                </w:p>
              </w:tc>
              <w:tc>
                <w:tcPr>
                  <w:tcW w:w="1246" w:type="pct"/>
                  <w:tcBorders>
                    <w:top w:val="nil"/>
                    <w:left w:val="nil"/>
                    <w:bottom w:val="single" w:sz="4" w:space="0" w:color="auto"/>
                    <w:right w:val="single" w:sz="4" w:space="0" w:color="auto"/>
                  </w:tcBorders>
                  <w:shd w:val="clear" w:color="000000" w:fill="92D050"/>
                  <w:noWrap/>
                  <w:vAlign w:val="bottom"/>
                  <w:hideMark/>
                </w:tcPr>
                <w:p w14:paraId="18DA2F2C" w14:textId="77777777" w:rsidR="00071D48" w:rsidRPr="00071D48" w:rsidRDefault="00071D48" w:rsidP="00071D48">
                  <w:pPr>
                    <w:spacing w:after="0" w:line="240" w:lineRule="auto"/>
                    <w:jc w:val="center"/>
                    <w:rPr>
                      <w:rFonts w:ascii="Calibri" w:eastAsia="Times New Roman" w:hAnsi="Calibri" w:cs="Calibri"/>
                      <w:b/>
                      <w:bCs/>
                      <w:color w:val="000000"/>
                      <w:lang w:eastAsia="en-GB"/>
                    </w:rPr>
                  </w:pPr>
                  <w:r w:rsidRPr="00071D48">
                    <w:rPr>
                      <w:rFonts w:ascii="Calibri" w:eastAsia="Times New Roman" w:hAnsi="Calibri" w:cs="Calibri"/>
                      <w:b/>
                      <w:bCs/>
                      <w:color w:val="000000"/>
                      <w:lang w:eastAsia="en-GB"/>
                    </w:rPr>
                    <w:t>£3.89</w:t>
                  </w:r>
                </w:p>
              </w:tc>
            </w:tr>
          </w:tbl>
          <w:p w14:paraId="72EA69F3" w14:textId="77777777" w:rsidR="00510F46" w:rsidRDefault="00510F46" w:rsidP="7FF0CC02">
            <w:pPr>
              <w:rPr>
                <w:rFonts w:ascii="Arial" w:hAnsi="Arial" w:cs="Arial"/>
                <w:sz w:val="24"/>
                <w:szCs w:val="24"/>
              </w:rPr>
            </w:pPr>
          </w:p>
          <w:p w14:paraId="54C4B019" w14:textId="3AE0EDE7" w:rsidR="00071D48" w:rsidRDefault="00071D48" w:rsidP="7FF0CC02">
            <w:pPr>
              <w:rPr>
                <w:rFonts w:ascii="Arial" w:hAnsi="Arial" w:cs="Arial"/>
                <w:sz w:val="24"/>
                <w:szCs w:val="24"/>
              </w:rPr>
            </w:pPr>
            <w:r>
              <w:rPr>
                <w:rFonts w:ascii="Arial" w:hAnsi="Arial" w:cs="Arial"/>
                <w:sz w:val="24"/>
                <w:szCs w:val="24"/>
              </w:rPr>
              <w:lastRenderedPageBreak/>
              <w:t>However, please note that</w:t>
            </w:r>
            <w:r w:rsidR="00FA6393">
              <w:rPr>
                <w:rFonts w:ascii="Arial" w:hAnsi="Arial" w:cs="Arial"/>
                <w:sz w:val="24"/>
                <w:szCs w:val="24"/>
              </w:rPr>
              <w:t>:</w:t>
            </w:r>
          </w:p>
          <w:p w14:paraId="4DA645F3" w14:textId="2A8FDAA8" w:rsidR="000B4FEA" w:rsidRDefault="00071D48" w:rsidP="00071D48">
            <w:pPr>
              <w:pStyle w:val="ListParagraph"/>
              <w:numPr>
                <w:ilvl w:val="0"/>
                <w:numId w:val="4"/>
              </w:numPr>
              <w:rPr>
                <w:rFonts w:ascii="Arial" w:hAnsi="Arial" w:cs="Arial"/>
                <w:sz w:val="24"/>
                <w:szCs w:val="24"/>
              </w:rPr>
            </w:pPr>
            <w:r w:rsidRPr="00071D48">
              <w:rPr>
                <w:rFonts w:ascii="Arial" w:hAnsi="Arial" w:cs="Arial"/>
                <w:sz w:val="24"/>
                <w:szCs w:val="24"/>
              </w:rPr>
              <w:t>Since the Re</w:t>
            </w:r>
            <w:r w:rsidR="004A7E1B">
              <w:rPr>
                <w:rFonts w:ascii="Arial" w:hAnsi="Arial" w:cs="Arial"/>
                <w:sz w:val="24"/>
                <w:szCs w:val="24"/>
              </w:rPr>
              <w:t>d</w:t>
            </w:r>
            <w:r w:rsidRPr="00071D48">
              <w:rPr>
                <w:rFonts w:ascii="Arial" w:hAnsi="Arial" w:cs="Arial"/>
                <w:sz w:val="24"/>
                <w:szCs w:val="24"/>
              </w:rPr>
              <w:t>Quadrant exercise, other costs have been increased by the CPI rate.  The figures</w:t>
            </w:r>
            <w:r>
              <w:rPr>
                <w:rFonts w:ascii="Arial" w:hAnsi="Arial" w:cs="Arial"/>
                <w:sz w:val="24"/>
                <w:szCs w:val="24"/>
              </w:rPr>
              <w:t xml:space="preserve"> above are therefore calculated based on the </w:t>
            </w:r>
            <w:r w:rsidR="00911F9E">
              <w:rPr>
                <w:rFonts w:ascii="Arial" w:hAnsi="Arial" w:cs="Arial"/>
                <w:sz w:val="24"/>
                <w:szCs w:val="24"/>
              </w:rPr>
              <w:t>RedQuadrant exercise calculations and for each element a figure they would equate to now as part of the overall £3.89 figure</w:t>
            </w:r>
          </w:p>
          <w:p w14:paraId="3DED135A" w14:textId="0662C920" w:rsidR="000B4FEA" w:rsidRPr="009E6CC5" w:rsidRDefault="004B49ED" w:rsidP="004B49ED">
            <w:pPr>
              <w:pStyle w:val="ListParagraph"/>
              <w:numPr>
                <w:ilvl w:val="0"/>
                <w:numId w:val="4"/>
              </w:numPr>
              <w:rPr>
                <w:rFonts w:ascii="Arial" w:hAnsi="Arial" w:cs="Arial"/>
                <w:sz w:val="24"/>
                <w:szCs w:val="24"/>
              </w:rPr>
            </w:pPr>
            <w:r w:rsidRPr="004B49ED">
              <w:rPr>
                <w:rFonts w:ascii="Arial" w:hAnsi="Arial" w:cs="Arial"/>
                <w:sz w:val="24"/>
                <w:szCs w:val="24"/>
              </w:rPr>
              <w:t>There is continued acknowledgement that Providers have different service/cost/operational models</w:t>
            </w:r>
          </w:p>
        </w:tc>
      </w:tr>
      <w:tr w:rsidR="00275493" w:rsidRPr="009E6CC5" w14:paraId="63DEDD0F" w14:textId="77777777" w:rsidTr="004B49ED">
        <w:trPr>
          <w:trHeight w:val="1559"/>
          <w:jc w:val="center"/>
        </w:trPr>
        <w:tc>
          <w:tcPr>
            <w:tcW w:w="1104" w:type="dxa"/>
          </w:tcPr>
          <w:p w14:paraId="0B1E1F3A" w14:textId="7DDF7A80" w:rsidR="00275493" w:rsidRPr="009E6CC5" w:rsidRDefault="00275493" w:rsidP="7FF0CC02">
            <w:pPr>
              <w:jc w:val="center"/>
              <w:rPr>
                <w:rFonts w:ascii="Arial" w:hAnsi="Arial" w:cs="Arial"/>
                <w:b/>
                <w:bCs/>
                <w:sz w:val="24"/>
                <w:szCs w:val="24"/>
              </w:rPr>
            </w:pPr>
          </w:p>
          <w:p w14:paraId="071F3905" w14:textId="6E0B6A7C" w:rsidR="00275493" w:rsidRPr="009E6CC5" w:rsidRDefault="00275493" w:rsidP="7FF0CC02">
            <w:pPr>
              <w:jc w:val="center"/>
              <w:rPr>
                <w:rFonts w:ascii="Arial" w:hAnsi="Arial" w:cs="Arial"/>
                <w:b/>
                <w:bCs/>
                <w:sz w:val="24"/>
                <w:szCs w:val="24"/>
              </w:rPr>
            </w:pPr>
            <w:r w:rsidRPr="009E6CC5">
              <w:rPr>
                <w:rFonts w:ascii="Arial" w:hAnsi="Arial" w:cs="Arial"/>
                <w:b/>
                <w:bCs/>
                <w:sz w:val="24"/>
                <w:szCs w:val="24"/>
              </w:rPr>
              <w:t>10.</w:t>
            </w:r>
          </w:p>
        </w:tc>
        <w:tc>
          <w:tcPr>
            <w:tcW w:w="9097" w:type="dxa"/>
          </w:tcPr>
          <w:p w14:paraId="72049B98" w14:textId="678AF490" w:rsidR="00275493" w:rsidRPr="009E6CC5" w:rsidRDefault="00275493" w:rsidP="7FF0CC02">
            <w:pPr>
              <w:rPr>
                <w:rFonts w:ascii="Arial" w:hAnsi="Arial" w:cs="Arial"/>
                <w:b/>
                <w:bCs/>
                <w:sz w:val="24"/>
                <w:szCs w:val="24"/>
              </w:rPr>
            </w:pPr>
            <w:r w:rsidRPr="009E6CC5">
              <w:rPr>
                <w:rFonts w:ascii="Arial" w:hAnsi="Arial" w:cs="Arial"/>
                <w:b/>
                <w:bCs/>
                <w:sz w:val="24"/>
                <w:szCs w:val="24"/>
              </w:rPr>
              <w:t xml:space="preserve">Q. </w:t>
            </w:r>
            <w:r w:rsidRPr="009E6CC5">
              <w:rPr>
                <w:rFonts w:ascii="Arial" w:hAnsi="Arial" w:cs="Arial"/>
                <w:sz w:val="24"/>
                <w:szCs w:val="24"/>
              </w:rPr>
              <w:t>In terms of ‘other costs’, has there been any consideration for the cost of uniforms?</w:t>
            </w:r>
          </w:p>
          <w:p w14:paraId="0E1BFD8B" w14:textId="09030D08" w:rsidR="00275493" w:rsidRPr="009E6CC5" w:rsidRDefault="00275493" w:rsidP="7FF0CC02">
            <w:pPr>
              <w:rPr>
                <w:rFonts w:ascii="Arial" w:hAnsi="Arial" w:cs="Arial"/>
                <w:b/>
                <w:bCs/>
                <w:sz w:val="24"/>
                <w:szCs w:val="24"/>
              </w:rPr>
            </w:pPr>
            <w:r w:rsidRPr="009E6CC5">
              <w:rPr>
                <w:rFonts w:ascii="Arial" w:hAnsi="Arial" w:cs="Arial"/>
                <w:b/>
                <w:bCs/>
                <w:sz w:val="24"/>
                <w:szCs w:val="24"/>
              </w:rPr>
              <w:t xml:space="preserve">A. </w:t>
            </w:r>
            <w:r w:rsidR="004B49ED" w:rsidRPr="004A7E1B">
              <w:rPr>
                <w:rFonts w:ascii="Arial" w:hAnsi="Arial" w:cs="Arial"/>
                <w:sz w:val="24"/>
                <w:szCs w:val="24"/>
              </w:rPr>
              <w:t xml:space="preserve">Please see </w:t>
            </w:r>
            <w:r w:rsidR="004A7E1B" w:rsidRPr="004A7E1B">
              <w:rPr>
                <w:rFonts w:ascii="Arial" w:hAnsi="Arial" w:cs="Arial"/>
                <w:sz w:val="24"/>
                <w:szCs w:val="24"/>
              </w:rPr>
              <w:t>details in question 9</w:t>
            </w:r>
            <w:r w:rsidR="004A7E1B">
              <w:rPr>
                <w:rFonts w:ascii="Arial" w:hAnsi="Arial" w:cs="Arial"/>
                <w:b/>
                <w:bCs/>
                <w:sz w:val="24"/>
                <w:szCs w:val="24"/>
              </w:rPr>
              <w:t xml:space="preserve">.  </w:t>
            </w:r>
            <w:r w:rsidRPr="009E6CC5">
              <w:rPr>
                <w:rFonts w:ascii="Arial" w:hAnsi="Arial" w:cs="Arial"/>
                <w:sz w:val="24"/>
                <w:szCs w:val="24"/>
              </w:rPr>
              <w:t>The Workforce Recruitment and Retention and IPC grants will help with the additional challenges. These are in place for March 2022.  At the moment we don’t know if these will be available after March 2022. We will be in touch in the next few weeks to offer support to help providers maximise the grant.</w:t>
            </w:r>
          </w:p>
        </w:tc>
      </w:tr>
      <w:tr w:rsidR="00275493" w:rsidRPr="009E6CC5" w14:paraId="7BE467C4" w14:textId="77777777" w:rsidTr="004B49ED">
        <w:trPr>
          <w:trHeight w:val="1559"/>
          <w:jc w:val="center"/>
        </w:trPr>
        <w:tc>
          <w:tcPr>
            <w:tcW w:w="1104" w:type="dxa"/>
          </w:tcPr>
          <w:p w14:paraId="0A4EAEA3" w14:textId="2DA09943" w:rsidR="00275493" w:rsidRPr="009E6CC5" w:rsidRDefault="00275493" w:rsidP="7FF0CC02">
            <w:pPr>
              <w:jc w:val="center"/>
              <w:rPr>
                <w:rFonts w:ascii="Arial" w:hAnsi="Arial" w:cs="Arial"/>
                <w:b/>
                <w:bCs/>
                <w:sz w:val="24"/>
                <w:szCs w:val="24"/>
              </w:rPr>
            </w:pPr>
          </w:p>
          <w:p w14:paraId="675E0F8B" w14:textId="04046357" w:rsidR="00275493" w:rsidRPr="009E6CC5" w:rsidRDefault="00275493" w:rsidP="7FF0CC02">
            <w:pPr>
              <w:jc w:val="center"/>
              <w:rPr>
                <w:rFonts w:ascii="Arial" w:hAnsi="Arial" w:cs="Arial"/>
                <w:b/>
                <w:bCs/>
                <w:sz w:val="24"/>
                <w:szCs w:val="24"/>
              </w:rPr>
            </w:pPr>
            <w:r w:rsidRPr="009E6CC5">
              <w:rPr>
                <w:rFonts w:ascii="Arial" w:hAnsi="Arial" w:cs="Arial"/>
                <w:b/>
                <w:bCs/>
                <w:sz w:val="24"/>
                <w:szCs w:val="24"/>
              </w:rPr>
              <w:t>11.</w:t>
            </w:r>
          </w:p>
        </w:tc>
        <w:tc>
          <w:tcPr>
            <w:tcW w:w="9097" w:type="dxa"/>
          </w:tcPr>
          <w:p w14:paraId="0A02CA21" w14:textId="00B3D7A2" w:rsidR="00275493" w:rsidRPr="009E6CC5" w:rsidRDefault="00275493" w:rsidP="7FF0CC02">
            <w:pPr>
              <w:rPr>
                <w:rFonts w:ascii="Arial" w:hAnsi="Arial" w:cs="Arial"/>
                <w:sz w:val="24"/>
                <w:szCs w:val="24"/>
              </w:rPr>
            </w:pPr>
            <w:r w:rsidRPr="009E6CC5">
              <w:rPr>
                <w:rFonts w:ascii="Arial" w:hAnsi="Arial" w:cs="Arial"/>
                <w:b/>
                <w:bCs/>
                <w:sz w:val="24"/>
                <w:szCs w:val="24"/>
              </w:rPr>
              <w:t>Q. I</w:t>
            </w:r>
            <w:r w:rsidRPr="009E6CC5">
              <w:rPr>
                <w:rFonts w:ascii="Arial" w:hAnsi="Arial" w:cs="Arial"/>
                <w:sz w:val="24"/>
                <w:szCs w:val="24"/>
              </w:rPr>
              <w:t>n terms of recruitment, this has been stress-tested over the past 12 months and the market rate isn’t competitive against other sectors.  The National Living Wage is far less attractive than other market segments outside of the care sector.</w:t>
            </w:r>
          </w:p>
          <w:p w14:paraId="6A99A681" w14:textId="1216CB72" w:rsidR="00275493" w:rsidRPr="009E6CC5" w:rsidRDefault="00275493" w:rsidP="7FF0CC02">
            <w:pPr>
              <w:rPr>
                <w:rFonts w:ascii="Arial" w:hAnsi="Arial" w:cs="Arial"/>
                <w:b/>
                <w:bCs/>
                <w:sz w:val="24"/>
                <w:szCs w:val="24"/>
                <w:highlight w:val="yellow"/>
              </w:rPr>
            </w:pPr>
            <w:r w:rsidRPr="004A7E1B">
              <w:rPr>
                <w:rFonts w:ascii="Arial" w:hAnsi="Arial" w:cs="Arial"/>
                <w:b/>
                <w:bCs/>
                <w:sz w:val="24"/>
                <w:szCs w:val="24"/>
              </w:rPr>
              <w:t>A.</w:t>
            </w:r>
            <w:r w:rsidR="004A7E1B">
              <w:rPr>
                <w:rFonts w:ascii="Arial" w:hAnsi="Arial" w:cs="Arial"/>
                <w:b/>
                <w:bCs/>
                <w:sz w:val="24"/>
                <w:szCs w:val="24"/>
              </w:rPr>
              <w:t xml:space="preserve">  </w:t>
            </w:r>
            <w:r w:rsidR="004A7E1B" w:rsidRPr="004A7E1B">
              <w:rPr>
                <w:rFonts w:ascii="Arial" w:hAnsi="Arial" w:cs="Arial"/>
                <w:sz w:val="24"/>
                <w:szCs w:val="24"/>
              </w:rPr>
              <w:t>It is acknowledged that recruitment is an issue</w:t>
            </w:r>
            <w:r w:rsidRPr="009E6CC5">
              <w:rPr>
                <w:rFonts w:ascii="Arial" w:hAnsi="Arial" w:cs="Arial"/>
                <w:b/>
                <w:bCs/>
                <w:sz w:val="24"/>
                <w:szCs w:val="24"/>
              </w:rPr>
              <w:t xml:space="preserve"> </w:t>
            </w:r>
            <w:r w:rsidR="00162347" w:rsidRPr="002178AB">
              <w:rPr>
                <w:rFonts w:ascii="Arial" w:hAnsi="Arial" w:cs="Arial"/>
                <w:sz w:val="24"/>
                <w:szCs w:val="24"/>
              </w:rPr>
              <w:t>and Providers may wish to provide information on this (and associated costs) as part of their response to the consultation.  T</w:t>
            </w:r>
            <w:r w:rsidR="00E76F49" w:rsidRPr="002178AB">
              <w:rPr>
                <w:rFonts w:ascii="Arial" w:hAnsi="Arial" w:cs="Arial"/>
                <w:sz w:val="24"/>
                <w:szCs w:val="24"/>
              </w:rPr>
              <w:t>he council has provided grant funding to support this</w:t>
            </w:r>
            <w:r w:rsidR="00162347" w:rsidRPr="002178AB">
              <w:rPr>
                <w:rFonts w:ascii="Arial" w:hAnsi="Arial" w:cs="Arial"/>
                <w:sz w:val="24"/>
                <w:szCs w:val="24"/>
              </w:rPr>
              <w:t xml:space="preserve"> and is also exploring how to </w:t>
            </w:r>
            <w:r w:rsidR="002178AB" w:rsidRPr="002178AB">
              <w:rPr>
                <w:rFonts w:ascii="Arial" w:hAnsi="Arial" w:cs="Arial"/>
                <w:sz w:val="24"/>
                <w:szCs w:val="24"/>
              </w:rPr>
              <w:t>support the sector with recruitment.  In addition</w:t>
            </w:r>
            <w:r w:rsidR="00E76F49" w:rsidRPr="002178AB">
              <w:rPr>
                <w:rFonts w:ascii="Arial" w:hAnsi="Arial" w:cs="Arial"/>
                <w:sz w:val="24"/>
                <w:szCs w:val="24"/>
              </w:rPr>
              <w:t>,</w:t>
            </w:r>
            <w:r w:rsidR="002178AB" w:rsidRPr="002178AB">
              <w:rPr>
                <w:rFonts w:ascii="Arial" w:hAnsi="Arial" w:cs="Arial"/>
                <w:sz w:val="24"/>
                <w:szCs w:val="24"/>
              </w:rPr>
              <w:t xml:space="preserve"> </w:t>
            </w:r>
            <w:r w:rsidR="00E76F49" w:rsidRPr="002178AB">
              <w:rPr>
                <w:rFonts w:ascii="Arial" w:hAnsi="Arial" w:cs="Arial"/>
                <w:sz w:val="24"/>
                <w:szCs w:val="24"/>
              </w:rPr>
              <w:t xml:space="preserve">as part of </w:t>
            </w:r>
            <w:r w:rsidR="00162347" w:rsidRPr="002178AB">
              <w:rPr>
                <w:rFonts w:ascii="Arial" w:hAnsi="Arial" w:cs="Arial"/>
                <w:sz w:val="24"/>
                <w:szCs w:val="24"/>
              </w:rPr>
              <w:t xml:space="preserve">future commissioning </w:t>
            </w:r>
            <w:r w:rsidR="002178AB" w:rsidRPr="002178AB">
              <w:rPr>
                <w:rFonts w:ascii="Arial" w:hAnsi="Arial" w:cs="Arial"/>
                <w:sz w:val="24"/>
                <w:szCs w:val="24"/>
              </w:rPr>
              <w:t>work</w:t>
            </w:r>
            <w:r w:rsidR="00162347" w:rsidRPr="002178AB">
              <w:rPr>
                <w:rFonts w:ascii="Arial" w:hAnsi="Arial" w:cs="Arial"/>
                <w:sz w:val="24"/>
                <w:szCs w:val="24"/>
              </w:rPr>
              <w:t xml:space="preserve"> the Council will be engaging with Providers on how </w:t>
            </w:r>
            <w:r w:rsidR="002178AB" w:rsidRPr="002178AB">
              <w:rPr>
                <w:rFonts w:ascii="Arial" w:hAnsi="Arial" w:cs="Arial"/>
                <w:sz w:val="24"/>
                <w:szCs w:val="24"/>
              </w:rPr>
              <w:t>new commissioning and contracting models can better support Providers with staffing related issues.</w:t>
            </w:r>
          </w:p>
        </w:tc>
      </w:tr>
    </w:tbl>
    <w:p w14:paraId="7AD3C23A" w14:textId="77777777" w:rsidR="00E15816" w:rsidRDefault="00E15816" w:rsidP="7FF0CC02">
      <w:pPr>
        <w:rPr>
          <w:b/>
          <w:bCs/>
        </w:rPr>
      </w:pPr>
    </w:p>
    <w:sectPr w:rsidR="00E1581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205A" w14:textId="77777777" w:rsidR="00FA7AE7" w:rsidRDefault="00FA7AE7">
      <w:pPr>
        <w:spacing w:after="0" w:line="240" w:lineRule="auto"/>
      </w:pPr>
      <w:r>
        <w:separator/>
      </w:r>
    </w:p>
  </w:endnote>
  <w:endnote w:type="continuationSeparator" w:id="0">
    <w:p w14:paraId="75091F55" w14:textId="77777777" w:rsidR="00FA7AE7" w:rsidRDefault="00FA7AE7">
      <w:pPr>
        <w:spacing w:after="0" w:line="240" w:lineRule="auto"/>
      </w:pPr>
      <w:r>
        <w:continuationSeparator/>
      </w:r>
    </w:p>
  </w:endnote>
  <w:endnote w:type="continuationNotice" w:id="1">
    <w:p w14:paraId="0459306A" w14:textId="77777777" w:rsidR="00FA7AE7" w:rsidRDefault="00FA7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BB76" w14:textId="77777777" w:rsidR="00DA7E1F" w:rsidRDefault="00FA6393" w:rsidP="00DA7E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2DDF5" w14:textId="77777777" w:rsidR="00FA7AE7" w:rsidRDefault="00FA7AE7">
      <w:pPr>
        <w:spacing w:after="0" w:line="240" w:lineRule="auto"/>
      </w:pPr>
      <w:r>
        <w:separator/>
      </w:r>
    </w:p>
  </w:footnote>
  <w:footnote w:type="continuationSeparator" w:id="0">
    <w:p w14:paraId="7BCD0B58" w14:textId="77777777" w:rsidR="00FA7AE7" w:rsidRDefault="00FA7AE7">
      <w:pPr>
        <w:spacing w:after="0" w:line="240" w:lineRule="auto"/>
      </w:pPr>
      <w:r>
        <w:continuationSeparator/>
      </w:r>
    </w:p>
  </w:footnote>
  <w:footnote w:type="continuationNotice" w:id="1">
    <w:p w14:paraId="21A8332A" w14:textId="77777777" w:rsidR="00FA7AE7" w:rsidRDefault="00FA7A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9406" w14:textId="77777777" w:rsidR="00C3793F" w:rsidRPr="00C8658B" w:rsidRDefault="00222E64">
    <w:pPr>
      <w:pStyle w:val="Header"/>
      <w:rPr>
        <w:sz w:val="28"/>
        <w:szCs w:val="28"/>
      </w:rPr>
    </w:pPr>
    <w:r>
      <w:t xml:space="preserve">                                                        </w:t>
    </w:r>
    <w:r>
      <w:rPr>
        <w:sz w:val="28"/>
        <w:szCs w:val="28"/>
      </w:rPr>
      <w:t>SEFTON BOROUGH COUNCIL</w:t>
    </w:r>
  </w:p>
</w:hdr>
</file>

<file path=word/intelligence2.xml><?xml version="1.0" encoding="utf-8"?>
<int2:intelligence xmlns:int2="http://schemas.microsoft.com/office/intelligence/2020/intelligence">
  <int2:observations>
    <int2:textHash int2:hashCode="SPW0sFXDTAtd5h" int2:id="pnbN1q7g">
      <int2:state int2:type="AugLoop_Text_Critique" int2:value="Rejected"/>
    </int2:textHash>
    <int2:textHash int2:hashCode="BJjD1NH6fVP/Sr" int2:id="FXEZLKt9">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BB6"/>
    <w:multiLevelType w:val="hybridMultilevel"/>
    <w:tmpl w:val="EA4272FA"/>
    <w:lvl w:ilvl="0" w:tplc="3E18A420">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A2239C"/>
    <w:multiLevelType w:val="hybridMultilevel"/>
    <w:tmpl w:val="DA406E5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8A5485"/>
    <w:multiLevelType w:val="hybridMultilevel"/>
    <w:tmpl w:val="8F8A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E504C7"/>
    <w:multiLevelType w:val="hybridMultilevel"/>
    <w:tmpl w:val="54AE1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64"/>
    <w:rsid w:val="0003549D"/>
    <w:rsid w:val="00071D48"/>
    <w:rsid w:val="0007753E"/>
    <w:rsid w:val="00077C75"/>
    <w:rsid w:val="000B4FEA"/>
    <w:rsid w:val="00144C29"/>
    <w:rsid w:val="00162347"/>
    <w:rsid w:val="00185639"/>
    <w:rsid w:val="0019508D"/>
    <w:rsid w:val="001E57E5"/>
    <w:rsid w:val="002178AB"/>
    <w:rsid w:val="00222E64"/>
    <w:rsid w:val="00275493"/>
    <w:rsid w:val="002C77F2"/>
    <w:rsid w:val="00360A00"/>
    <w:rsid w:val="003A00CA"/>
    <w:rsid w:val="004770A0"/>
    <w:rsid w:val="004A7E1B"/>
    <w:rsid w:val="004B49ED"/>
    <w:rsid w:val="00510F46"/>
    <w:rsid w:val="0056741A"/>
    <w:rsid w:val="005E16C5"/>
    <w:rsid w:val="005E6B87"/>
    <w:rsid w:val="00621FA6"/>
    <w:rsid w:val="006760AA"/>
    <w:rsid w:val="007700C8"/>
    <w:rsid w:val="007B25E1"/>
    <w:rsid w:val="007E0B40"/>
    <w:rsid w:val="00892E28"/>
    <w:rsid w:val="008A185C"/>
    <w:rsid w:val="008A7E2A"/>
    <w:rsid w:val="00911F9E"/>
    <w:rsid w:val="00914EF8"/>
    <w:rsid w:val="009168CA"/>
    <w:rsid w:val="009222B4"/>
    <w:rsid w:val="00973581"/>
    <w:rsid w:val="009A6C47"/>
    <w:rsid w:val="009E6CC5"/>
    <w:rsid w:val="00AF2C2E"/>
    <w:rsid w:val="00B1289B"/>
    <w:rsid w:val="00B25A1D"/>
    <w:rsid w:val="00C04DDF"/>
    <w:rsid w:val="00C32F37"/>
    <w:rsid w:val="00C512E1"/>
    <w:rsid w:val="00C56190"/>
    <w:rsid w:val="00CE7D17"/>
    <w:rsid w:val="00D0206F"/>
    <w:rsid w:val="00D56E1A"/>
    <w:rsid w:val="00D847AF"/>
    <w:rsid w:val="00D9339D"/>
    <w:rsid w:val="00DC0FCF"/>
    <w:rsid w:val="00E107A8"/>
    <w:rsid w:val="00E15816"/>
    <w:rsid w:val="00E76F49"/>
    <w:rsid w:val="00E92C8E"/>
    <w:rsid w:val="00F57676"/>
    <w:rsid w:val="00F61BE9"/>
    <w:rsid w:val="00FA6393"/>
    <w:rsid w:val="00FA7AE7"/>
    <w:rsid w:val="00FC114E"/>
    <w:rsid w:val="0BFCDE69"/>
    <w:rsid w:val="10D04F8C"/>
    <w:rsid w:val="12F90CC0"/>
    <w:rsid w:val="15A3C0AF"/>
    <w:rsid w:val="18DB6171"/>
    <w:rsid w:val="19684E44"/>
    <w:rsid w:val="1A6F444C"/>
    <w:rsid w:val="1C0B14AD"/>
    <w:rsid w:val="1FD78FC8"/>
    <w:rsid w:val="1FF0B825"/>
    <w:rsid w:val="228243B7"/>
    <w:rsid w:val="24B2EE71"/>
    <w:rsid w:val="2755B4DA"/>
    <w:rsid w:val="27E2A1AD"/>
    <w:rsid w:val="297E720E"/>
    <w:rsid w:val="2A8D559C"/>
    <w:rsid w:val="2C2925FD"/>
    <w:rsid w:val="2D14FB6A"/>
    <w:rsid w:val="2D90AD66"/>
    <w:rsid w:val="2DC4F65E"/>
    <w:rsid w:val="2E40A85A"/>
    <w:rsid w:val="32986781"/>
    <w:rsid w:val="33FFEEEA"/>
    <w:rsid w:val="359BBF4B"/>
    <w:rsid w:val="35D00843"/>
    <w:rsid w:val="376BD8A4"/>
    <w:rsid w:val="3800B2FD"/>
    <w:rsid w:val="3DA6D130"/>
    <w:rsid w:val="3E9C8C61"/>
    <w:rsid w:val="3EB5B4BE"/>
    <w:rsid w:val="3F4A8F17"/>
    <w:rsid w:val="41ED5580"/>
    <w:rsid w:val="441E003A"/>
    <w:rsid w:val="4463C077"/>
    <w:rsid w:val="45B9D09B"/>
    <w:rsid w:val="4C29121F"/>
    <w:rsid w:val="4F60B2E1"/>
    <w:rsid w:val="54342404"/>
    <w:rsid w:val="5FAB5C11"/>
    <w:rsid w:val="61472C72"/>
    <w:rsid w:val="62FC2530"/>
    <w:rsid w:val="6497F591"/>
    <w:rsid w:val="69523E57"/>
    <w:rsid w:val="715D503C"/>
    <w:rsid w:val="72F9209D"/>
    <w:rsid w:val="7630C15F"/>
    <w:rsid w:val="7F166DDA"/>
    <w:rsid w:val="7FF0C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CA3A"/>
  <w15:chartTrackingRefBased/>
  <w15:docId w15:val="{48500E79-BCF6-46A3-B612-F4DA1D98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E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E64"/>
    <w:pPr>
      <w:ind w:left="720"/>
      <w:contextualSpacing/>
    </w:pPr>
  </w:style>
  <w:style w:type="paragraph" w:styleId="Header">
    <w:name w:val="header"/>
    <w:basedOn w:val="Normal"/>
    <w:link w:val="HeaderChar"/>
    <w:uiPriority w:val="99"/>
    <w:unhideWhenUsed/>
    <w:rsid w:val="00222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E64"/>
  </w:style>
  <w:style w:type="paragraph" w:styleId="Footer">
    <w:name w:val="footer"/>
    <w:basedOn w:val="Normal"/>
    <w:link w:val="FooterChar"/>
    <w:uiPriority w:val="99"/>
    <w:unhideWhenUsed/>
    <w:rsid w:val="00222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E64"/>
  </w:style>
  <w:style w:type="character" w:styleId="CommentReference">
    <w:name w:val="annotation reference"/>
    <w:basedOn w:val="DefaultParagraphFont"/>
    <w:uiPriority w:val="99"/>
    <w:semiHidden/>
    <w:unhideWhenUsed/>
    <w:rsid w:val="0007753E"/>
    <w:rPr>
      <w:sz w:val="16"/>
      <w:szCs w:val="16"/>
    </w:rPr>
  </w:style>
  <w:style w:type="paragraph" w:styleId="CommentText">
    <w:name w:val="annotation text"/>
    <w:basedOn w:val="Normal"/>
    <w:link w:val="CommentTextChar"/>
    <w:uiPriority w:val="99"/>
    <w:semiHidden/>
    <w:unhideWhenUsed/>
    <w:rsid w:val="0007753E"/>
    <w:pPr>
      <w:spacing w:line="240" w:lineRule="auto"/>
    </w:pPr>
    <w:rPr>
      <w:sz w:val="20"/>
      <w:szCs w:val="20"/>
    </w:rPr>
  </w:style>
  <w:style w:type="character" w:customStyle="1" w:styleId="CommentTextChar">
    <w:name w:val="Comment Text Char"/>
    <w:basedOn w:val="DefaultParagraphFont"/>
    <w:link w:val="CommentText"/>
    <w:uiPriority w:val="99"/>
    <w:semiHidden/>
    <w:rsid w:val="0007753E"/>
    <w:rPr>
      <w:sz w:val="20"/>
      <w:szCs w:val="20"/>
    </w:rPr>
  </w:style>
  <w:style w:type="paragraph" w:styleId="CommentSubject">
    <w:name w:val="annotation subject"/>
    <w:basedOn w:val="CommentText"/>
    <w:next w:val="CommentText"/>
    <w:link w:val="CommentSubjectChar"/>
    <w:uiPriority w:val="99"/>
    <w:semiHidden/>
    <w:unhideWhenUsed/>
    <w:rsid w:val="0007753E"/>
    <w:rPr>
      <w:b/>
      <w:bCs/>
    </w:rPr>
  </w:style>
  <w:style w:type="character" w:customStyle="1" w:styleId="CommentSubjectChar">
    <w:name w:val="Comment Subject Char"/>
    <w:basedOn w:val="CommentTextChar"/>
    <w:link w:val="CommentSubject"/>
    <w:uiPriority w:val="99"/>
    <w:semiHidden/>
    <w:rsid w:val="0007753E"/>
    <w:rPr>
      <w:b/>
      <w:bCs/>
      <w:sz w:val="20"/>
      <w:szCs w:val="20"/>
    </w:rPr>
  </w:style>
  <w:style w:type="paragraph" w:styleId="BalloonText">
    <w:name w:val="Balloon Text"/>
    <w:basedOn w:val="Normal"/>
    <w:link w:val="BalloonTextChar"/>
    <w:uiPriority w:val="99"/>
    <w:semiHidden/>
    <w:unhideWhenUsed/>
    <w:rsid w:val="00077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5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20382">
      <w:bodyDiv w:val="1"/>
      <w:marLeft w:val="0"/>
      <w:marRight w:val="0"/>
      <w:marTop w:val="0"/>
      <w:marBottom w:val="0"/>
      <w:divBdr>
        <w:top w:val="none" w:sz="0" w:space="0" w:color="auto"/>
        <w:left w:val="none" w:sz="0" w:space="0" w:color="auto"/>
        <w:bottom w:val="none" w:sz="0" w:space="0" w:color="auto"/>
        <w:right w:val="none" w:sz="0" w:space="0" w:color="auto"/>
      </w:divBdr>
    </w:div>
    <w:div w:id="67831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BCE57B1CF2349A3592760D14685E3" ma:contentTypeVersion="8" ma:contentTypeDescription="Create a new document." ma:contentTypeScope="" ma:versionID="302feaca00e1fac0b4078ed571d87361">
  <xsd:schema xmlns:xsd="http://www.w3.org/2001/XMLSchema" xmlns:xs="http://www.w3.org/2001/XMLSchema" xmlns:p="http://schemas.microsoft.com/office/2006/metadata/properties" xmlns:ns2="3a5cbc63-1754-4f49-ad59-48db90dcd8da" xmlns:ns3="a076a951-0343-4aff-969e-6ecb0148f4cc" targetNamespace="http://schemas.microsoft.com/office/2006/metadata/properties" ma:root="true" ma:fieldsID="bd1091d28e362f2193a637258a34d66f" ns2:_="" ns3:_="">
    <xsd:import namespace="3a5cbc63-1754-4f49-ad59-48db90dcd8da"/>
    <xsd:import namespace="a076a951-0343-4aff-969e-6ecb0148f4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cbc63-1754-4f49-ad59-48db90dcd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76a951-0343-4aff-969e-6ecb0148f4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FADA3-D801-4C8F-A98E-8F08304F2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cbc63-1754-4f49-ad59-48db90dcd8da"/>
    <ds:schemaRef ds:uri="a076a951-0343-4aff-969e-6ecb0148f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35114-3310-4436-8C49-0382F8D4D9DB}">
  <ds:schemaRefs>
    <ds:schemaRef ds:uri="http://schemas.microsoft.com/sharepoint/v3/contenttype/forms"/>
  </ds:schemaRefs>
</ds:datastoreItem>
</file>

<file path=customXml/itemProps3.xml><?xml version="1.0" encoding="utf-8"?>
<ds:datastoreItem xmlns:ds="http://schemas.openxmlformats.org/officeDocument/2006/customXml" ds:itemID="{3CF00C56-EB8D-429B-9809-E8A1CE7B03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Vincent</dc:creator>
  <cp:keywords/>
  <dc:description/>
  <cp:lastModifiedBy>Jayne Vincent</cp:lastModifiedBy>
  <cp:revision>37</cp:revision>
  <dcterms:created xsi:type="dcterms:W3CDTF">2022-03-08T08:57:00Z</dcterms:created>
  <dcterms:modified xsi:type="dcterms:W3CDTF">2022-03-11T14:11:00Z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0x0101001AEBCE57B1CF2349A3592760D14685E3</vt:lpwstr>
  </property>
</Properties>
</file>