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4ADB" w14:textId="0C2778FA" w:rsidR="009F5C97" w:rsidRPr="00DD5D23" w:rsidRDefault="00D75810">
      <w:pPr>
        <w:rPr>
          <w:b/>
          <w:bCs/>
          <w:color w:val="4C94D8" w:themeColor="text2" w:themeTint="80"/>
          <w:sz w:val="22"/>
          <w:szCs w:val="22"/>
        </w:rPr>
      </w:pPr>
      <w:r w:rsidRPr="00DD5D23">
        <w:rPr>
          <w:b/>
          <w:bCs/>
          <w:color w:val="4C94D8" w:themeColor="text2" w:themeTint="80"/>
          <w:sz w:val="22"/>
          <w:szCs w:val="22"/>
        </w:rPr>
        <w:t>A New Chapter in Supporting Families</w:t>
      </w:r>
    </w:p>
    <w:p w14:paraId="2B3D3DDC" w14:textId="0A92A868" w:rsidR="00770F4A" w:rsidRPr="00DD5D23" w:rsidRDefault="00BC47A7" w:rsidP="00770F4A">
      <w:pPr>
        <w:rPr>
          <w:sz w:val="22"/>
          <w:szCs w:val="22"/>
        </w:rPr>
      </w:pPr>
      <w:r w:rsidRPr="00DD5D23">
        <w:rPr>
          <w:sz w:val="22"/>
          <w:szCs w:val="22"/>
        </w:rPr>
        <w:t xml:space="preserve">As professionals dedicated to supporting children, young people, and families, we each play a vital role in shaping a more joined-up, compassionate system. That’s why we’re excited to introduce the </w:t>
      </w:r>
      <w:r w:rsidRPr="00DD5D23">
        <w:rPr>
          <w:b/>
          <w:bCs/>
          <w:sz w:val="22"/>
          <w:szCs w:val="22"/>
        </w:rPr>
        <w:t>Families First Partnership (FFP) reforms</w:t>
      </w:r>
      <w:r w:rsidRPr="00DD5D23">
        <w:rPr>
          <w:sz w:val="22"/>
          <w:szCs w:val="22"/>
        </w:rPr>
        <w:t>—a fresh, collaborative approach that places early help, lived experience, and shared responsibility at the heart of our work.</w:t>
      </w:r>
    </w:p>
    <w:p w14:paraId="44AAA7FC" w14:textId="77777777" w:rsidR="00885CF6" w:rsidRPr="00DD5D23" w:rsidRDefault="00885CF6" w:rsidP="00885CF6">
      <w:pPr>
        <w:rPr>
          <w:b/>
          <w:bCs/>
          <w:color w:val="4C94D8" w:themeColor="text2" w:themeTint="80"/>
          <w:sz w:val="22"/>
          <w:szCs w:val="22"/>
        </w:rPr>
      </w:pPr>
      <w:r w:rsidRPr="00DD5D23">
        <w:rPr>
          <w:b/>
          <w:bCs/>
          <w:color w:val="4C94D8" w:themeColor="text2" w:themeTint="80"/>
          <w:sz w:val="22"/>
          <w:szCs w:val="22"/>
        </w:rPr>
        <w:t>Key principles of the FFP approach:</w:t>
      </w:r>
    </w:p>
    <w:p w14:paraId="61FB49A8" w14:textId="77777777" w:rsidR="00885CF6" w:rsidRPr="00DD5D23" w:rsidRDefault="00885CF6" w:rsidP="00885CF6">
      <w:pPr>
        <w:numPr>
          <w:ilvl w:val="0"/>
          <w:numId w:val="1"/>
        </w:numPr>
        <w:rPr>
          <w:sz w:val="22"/>
          <w:szCs w:val="22"/>
        </w:rPr>
      </w:pPr>
      <w:r w:rsidRPr="00DD5D23">
        <w:rPr>
          <w:sz w:val="22"/>
          <w:szCs w:val="22"/>
        </w:rPr>
        <w:t>Whole-family, strengths-based working</w:t>
      </w:r>
    </w:p>
    <w:p w14:paraId="0045AD71" w14:textId="77777777" w:rsidR="00885CF6" w:rsidRPr="00DD5D23" w:rsidRDefault="00885CF6" w:rsidP="00885CF6">
      <w:pPr>
        <w:numPr>
          <w:ilvl w:val="0"/>
          <w:numId w:val="1"/>
        </w:numPr>
        <w:rPr>
          <w:sz w:val="22"/>
          <w:szCs w:val="22"/>
        </w:rPr>
      </w:pPr>
      <w:r w:rsidRPr="00DD5D23">
        <w:rPr>
          <w:sz w:val="22"/>
          <w:szCs w:val="22"/>
        </w:rPr>
        <w:t>Early intervention to prevent escalation</w:t>
      </w:r>
    </w:p>
    <w:p w14:paraId="0C1B81C0" w14:textId="77777777" w:rsidR="00885CF6" w:rsidRPr="00DD5D23" w:rsidRDefault="00885CF6" w:rsidP="00885CF6">
      <w:pPr>
        <w:numPr>
          <w:ilvl w:val="0"/>
          <w:numId w:val="1"/>
        </w:numPr>
        <w:rPr>
          <w:sz w:val="22"/>
          <w:szCs w:val="22"/>
        </w:rPr>
      </w:pPr>
      <w:r w:rsidRPr="00DD5D23">
        <w:rPr>
          <w:sz w:val="22"/>
          <w:szCs w:val="22"/>
        </w:rPr>
        <w:t>Multi-agency collaboration with shared ownership of outcomes</w:t>
      </w:r>
    </w:p>
    <w:p w14:paraId="164D50FC" w14:textId="77777777" w:rsidR="00885CF6" w:rsidRPr="00DD5D23" w:rsidRDefault="00885CF6" w:rsidP="00885CF6">
      <w:pPr>
        <w:numPr>
          <w:ilvl w:val="0"/>
          <w:numId w:val="1"/>
        </w:numPr>
        <w:rPr>
          <w:sz w:val="22"/>
          <w:szCs w:val="22"/>
        </w:rPr>
      </w:pPr>
      <w:r w:rsidRPr="00DD5D23">
        <w:rPr>
          <w:sz w:val="22"/>
          <w:szCs w:val="22"/>
        </w:rPr>
        <w:t>One single front door to simplify access and reduce duplication</w:t>
      </w:r>
    </w:p>
    <w:p w14:paraId="2F28982C" w14:textId="77777777" w:rsidR="00885CF6" w:rsidRPr="00DD5D23" w:rsidRDefault="00885CF6" w:rsidP="00885CF6">
      <w:pPr>
        <w:numPr>
          <w:ilvl w:val="0"/>
          <w:numId w:val="1"/>
        </w:numPr>
        <w:rPr>
          <w:sz w:val="22"/>
          <w:szCs w:val="22"/>
        </w:rPr>
      </w:pPr>
      <w:r w:rsidRPr="00DD5D23">
        <w:rPr>
          <w:sz w:val="22"/>
          <w:szCs w:val="22"/>
        </w:rPr>
        <w:t>Listening to families and co-producing support that meets their needs</w:t>
      </w:r>
    </w:p>
    <w:p w14:paraId="3997E633" w14:textId="77777777" w:rsidR="00885CF6" w:rsidRPr="00DD5D23" w:rsidRDefault="00885CF6" w:rsidP="00885CF6">
      <w:pPr>
        <w:rPr>
          <w:b/>
          <w:bCs/>
          <w:color w:val="4C94D8" w:themeColor="text2" w:themeTint="80"/>
          <w:sz w:val="22"/>
          <w:szCs w:val="22"/>
        </w:rPr>
      </w:pPr>
      <w:r w:rsidRPr="00DD5D23">
        <w:rPr>
          <w:b/>
          <w:bCs/>
          <w:color w:val="4C94D8" w:themeColor="text2" w:themeTint="80"/>
          <w:sz w:val="22"/>
          <w:szCs w:val="22"/>
        </w:rPr>
        <w:t>The Three Strands of Reform</w:t>
      </w:r>
    </w:p>
    <w:p w14:paraId="1366F6A4" w14:textId="77777777" w:rsidR="00885CF6" w:rsidRPr="00DD5D23" w:rsidRDefault="00885CF6" w:rsidP="00885CF6">
      <w:pPr>
        <w:rPr>
          <w:sz w:val="22"/>
          <w:szCs w:val="22"/>
        </w:rPr>
      </w:pPr>
      <w:r w:rsidRPr="00DD5D23">
        <w:rPr>
          <w:sz w:val="22"/>
          <w:szCs w:val="22"/>
        </w:rPr>
        <w:t xml:space="preserve">These reforms focus on </w:t>
      </w:r>
      <w:r w:rsidRPr="00DD5D23">
        <w:rPr>
          <w:i/>
          <w:iCs/>
          <w:sz w:val="22"/>
          <w:szCs w:val="22"/>
        </w:rPr>
        <w:t>doing with, not doing to</w:t>
      </w:r>
      <w:r w:rsidRPr="00DD5D23">
        <w:rPr>
          <w:sz w:val="22"/>
          <w:szCs w:val="22"/>
        </w:rPr>
        <w:t>, and they’re grounded in three key, interlinked strands that will shape the way we work:</w:t>
      </w:r>
    </w:p>
    <w:p w14:paraId="7010A952" w14:textId="77777777" w:rsidR="00885CF6" w:rsidRPr="00DD5D23" w:rsidRDefault="00885CF6" w:rsidP="00885CF6">
      <w:pPr>
        <w:rPr>
          <w:b/>
          <w:bCs/>
          <w:color w:val="4C94D8" w:themeColor="text2" w:themeTint="80"/>
          <w:sz w:val="22"/>
          <w:szCs w:val="22"/>
        </w:rPr>
      </w:pPr>
      <w:r w:rsidRPr="00DD5D23">
        <w:rPr>
          <w:b/>
          <w:bCs/>
          <w:color w:val="4C94D8" w:themeColor="text2" w:themeTint="80"/>
          <w:sz w:val="22"/>
          <w:szCs w:val="22"/>
        </w:rPr>
        <w:t>1. Family Help</w:t>
      </w:r>
    </w:p>
    <w:p w14:paraId="4A3CB463" w14:textId="77777777" w:rsidR="00885CF6" w:rsidRPr="00DD5D23" w:rsidRDefault="00885CF6" w:rsidP="00885CF6">
      <w:pPr>
        <w:rPr>
          <w:sz w:val="22"/>
          <w:szCs w:val="22"/>
        </w:rPr>
      </w:pPr>
      <w:r w:rsidRPr="00DD5D23">
        <w:rPr>
          <w:sz w:val="22"/>
          <w:szCs w:val="22"/>
        </w:rPr>
        <w:t>A reimagined early help offer that works with families from the moment they need support. The focus is on building trusted relationships, offering practical help early, and reducing the need for statutory intervention. The approach is strengths-based and whole-family, and it empowers practitioners to respond in timely, tailored ways—without families needing to retell their story.</w:t>
      </w:r>
    </w:p>
    <w:p w14:paraId="15E10EB6" w14:textId="02BFAAFA" w:rsidR="00885CF6" w:rsidRPr="00DD5D23" w:rsidRDefault="00885CF6" w:rsidP="00885CF6">
      <w:pPr>
        <w:rPr>
          <w:b/>
          <w:bCs/>
          <w:color w:val="4C94D8" w:themeColor="text2" w:themeTint="80"/>
          <w:sz w:val="22"/>
          <w:szCs w:val="22"/>
        </w:rPr>
      </w:pPr>
      <w:r w:rsidRPr="00DD5D23">
        <w:rPr>
          <w:b/>
          <w:bCs/>
          <w:color w:val="4C94D8" w:themeColor="text2" w:themeTint="80"/>
          <w:sz w:val="22"/>
          <w:szCs w:val="22"/>
        </w:rPr>
        <w:t xml:space="preserve">2. Multi-Agency Child </w:t>
      </w:r>
      <w:r w:rsidR="00CE56F5" w:rsidRPr="00DD5D23">
        <w:rPr>
          <w:b/>
          <w:bCs/>
          <w:color w:val="4C94D8" w:themeColor="text2" w:themeTint="80"/>
          <w:sz w:val="22"/>
          <w:szCs w:val="22"/>
        </w:rPr>
        <w:t xml:space="preserve">Protection </w:t>
      </w:r>
      <w:r w:rsidRPr="00DD5D23">
        <w:rPr>
          <w:b/>
          <w:bCs/>
          <w:color w:val="4C94D8" w:themeColor="text2" w:themeTint="80"/>
          <w:sz w:val="22"/>
          <w:szCs w:val="22"/>
        </w:rPr>
        <w:t>Teams (MACPTs)</w:t>
      </w:r>
    </w:p>
    <w:p w14:paraId="75FE204D" w14:textId="2D476298" w:rsidR="00885CF6" w:rsidRPr="00DD5D23" w:rsidRDefault="00885CF6" w:rsidP="00885CF6">
      <w:pPr>
        <w:rPr>
          <w:sz w:val="22"/>
          <w:szCs w:val="22"/>
        </w:rPr>
      </w:pPr>
      <w:r w:rsidRPr="00DD5D23">
        <w:rPr>
          <w:sz w:val="22"/>
          <w:szCs w:val="22"/>
        </w:rPr>
        <w:t xml:space="preserve">These teams bring professionals from across disciplines into shared local teams that work together around families. Rather than signposting or referring between services, MACPTs </w:t>
      </w:r>
      <w:r w:rsidRPr="00DD5D23">
        <w:rPr>
          <w:sz w:val="22"/>
          <w:szCs w:val="22"/>
        </w:rPr>
        <w:lastRenderedPageBreak/>
        <w:t xml:space="preserve">collaborate, co-locate, and co-own outcomes. Expect </w:t>
      </w:r>
      <w:r w:rsidR="00CE56F5" w:rsidRPr="00DD5D23">
        <w:rPr>
          <w:sz w:val="22"/>
          <w:szCs w:val="22"/>
        </w:rPr>
        <w:t xml:space="preserve">joint working and </w:t>
      </w:r>
      <w:r w:rsidRPr="00DD5D23">
        <w:rPr>
          <w:sz w:val="22"/>
          <w:szCs w:val="22"/>
        </w:rPr>
        <w:t>planning, and more agile responses to the needs of our communities.</w:t>
      </w:r>
    </w:p>
    <w:p w14:paraId="312A0F0D" w14:textId="77777777" w:rsidR="00885CF6" w:rsidRPr="00DD5D23" w:rsidRDefault="00885CF6" w:rsidP="00885CF6">
      <w:pPr>
        <w:rPr>
          <w:b/>
          <w:bCs/>
          <w:color w:val="4C94D8" w:themeColor="text2" w:themeTint="80"/>
          <w:sz w:val="22"/>
          <w:szCs w:val="22"/>
        </w:rPr>
      </w:pPr>
      <w:r w:rsidRPr="00DD5D23">
        <w:rPr>
          <w:b/>
          <w:bCs/>
          <w:color w:val="4C94D8" w:themeColor="text2" w:themeTint="80"/>
          <w:sz w:val="22"/>
          <w:szCs w:val="22"/>
        </w:rPr>
        <w:t>3. Family Group Decision Making (FGDM)</w:t>
      </w:r>
    </w:p>
    <w:p w14:paraId="359040E9" w14:textId="26B119C9" w:rsidR="00885CF6" w:rsidRPr="00DD5D23" w:rsidRDefault="00885CF6" w:rsidP="00885CF6">
      <w:pPr>
        <w:rPr>
          <w:sz w:val="22"/>
          <w:szCs w:val="22"/>
        </w:rPr>
      </w:pPr>
      <w:r w:rsidRPr="00DD5D23">
        <w:rPr>
          <w:sz w:val="22"/>
          <w:szCs w:val="22"/>
        </w:rPr>
        <w:t>We’re embedding FGDM as a core part of our</w:t>
      </w:r>
      <w:r w:rsidR="008C31BF" w:rsidRPr="00DD5D23">
        <w:rPr>
          <w:sz w:val="22"/>
          <w:szCs w:val="22"/>
        </w:rPr>
        <w:t xml:space="preserve"> FGC (Family Group Conferencing)</w:t>
      </w:r>
      <w:r w:rsidRPr="00DD5D23">
        <w:rPr>
          <w:sz w:val="22"/>
          <w:szCs w:val="22"/>
        </w:rPr>
        <w:t xml:space="preserve"> offer—a restorative, family-led approach to planning and problem solving. Through facilitated conversations, families take the lead in identifying solutions and support networks that work for them, reinforcing autonomy and resilience.</w:t>
      </w:r>
    </w:p>
    <w:p w14:paraId="713EBD4A" w14:textId="07142788" w:rsidR="00770F4A" w:rsidRPr="00DD5D23" w:rsidRDefault="00770F4A" w:rsidP="00770F4A">
      <w:pPr>
        <w:rPr>
          <w:b/>
          <w:bCs/>
          <w:color w:val="4C94D8" w:themeColor="text2" w:themeTint="80"/>
          <w:sz w:val="22"/>
          <w:szCs w:val="22"/>
        </w:rPr>
      </w:pPr>
      <w:r w:rsidRPr="00DD5D23">
        <w:rPr>
          <w:b/>
          <w:bCs/>
          <w:color w:val="4C94D8" w:themeColor="text2" w:themeTint="80"/>
          <w:sz w:val="22"/>
          <w:szCs w:val="22"/>
        </w:rPr>
        <w:t>Building on Strong Foundations in Sefton</w:t>
      </w:r>
    </w:p>
    <w:p w14:paraId="0EF0BA18" w14:textId="2742F3F5" w:rsidR="00770F4A" w:rsidRPr="00DD5D23" w:rsidRDefault="00770F4A" w:rsidP="00770F4A">
      <w:pPr>
        <w:rPr>
          <w:sz w:val="22"/>
          <w:szCs w:val="22"/>
        </w:rPr>
      </w:pPr>
      <w:r w:rsidRPr="00DD5D23">
        <w:rPr>
          <w:sz w:val="22"/>
          <w:szCs w:val="22"/>
        </w:rPr>
        <w:t xml:space="preserve">We are proud to be launching this transformation from a position of strength. Across Sefton, a number of </w:t>
      </w:r>
      <w:r w:rsidR="00644A88" w:rsidRPr="00DD5D23">
        <w:rPr>
          <w:sz w:val="22"/>
          <w:szCs w:val="22"/>
        </w:rPr>
        <w:t>well-established</w:t>
      </w:r>
      <w:r w:rsidRPr="00DD5D23">
        <w:rPr>
          <w:sz w:val="22"/>
          <w:szCs w:val="22"/>
        </w:rPr>
        <w:t xml:space="preserve"> approaches have already laid the groundwork for the FFP reforms, including:</w:t>
      </w:r>
    </w:p>
    <w:p w14:paraId="441FE816" w14:textId="2825FFDA" w:rsidR="00770F4A" w:rsidRPr="00DD5D23" w:rsidRDefault="00770F4A" w:rsidP="00770F4A">
      <w:pPr>
        <w:numPr>
          <w:ilvl w:val="0"/>
          <w:numId w:val="3"/>
        </w:numPr>
        <w:rPr>
          <w:sz w:val="22"/>
          <w:szCs w:val="22"/>
        </w:rPr>
      </w:pPr>
      <w:r w:rsidRPr="00DD5D23">
        <w:rPr>
          <w:sz w:val="22"/>
          <w:szCs w:val="22"/>
        </w:rPr>
        <w:t xml:space="preserve">FAST </w:t>
      </w:r>
      <w:r w:rsidR="00F979E6" w:rsidRPr="00DD5D23">
        <w:rPr>
          <w:sz w:val="22"/>
          <w:szCs w:val="22"/>
        </w:rPr>
        <w:t>(</w:t>
      </w:r>
      <w:r w:rsidR="00FC5836" w:rsidRPr="00DD5D23">
        <w:rPr>
          <w:sz w:val="22"/>
          <w:szCs w:val="22"/>
        </w:rPr>
        <w:t xml:space="preserve">Family Advice &amp; Support Team) </w:t>
      </w:r>
      <w:r w:rsidRPr="00DD5D23">
        <w:rPr>
          <w:sz w:val="22"/>
          <w:szCs w:val="22"/>
        </w:rPr>
        <w:t>&amp; C</w:t>
      </w:r>
      <w:r w:rsidR="00885CF6" w:rsidRPr="00DD5D23">
        <w:rPr>
          <w:sz w:val="22"/>
          <w:szCs w:val="22"/>
        </w:rPr>
        <w:t>HAT</w:t>
      </w:r>
      <w:r w:rsidR="00FC5836" w:rsidRPr="00DD5D23">
        <w:rPr>
          <w:sz w:val="22"/>
          <w:szCs w:val="22"/>
        </w:rPr>
        <w:t xml:space="preserve"> (Children’s Help &amp; Advice Team)</w:t>
      </w:r>
    </w:p>
    <w:p w14:paraId="171764C5" w14:textId="77777777" w:rsidR="00770F4A" w:rsidRPr="00DD5D23" w:rsidRDefault="00770F4A" w:rsidP="00770F4A">
      <w:pPr>
        <w:numPr>
          <w:ilvl w:val="0"/>
          <w:numId w:val="3"/>
        </w:numPr>
        <w:rPr>
          <w:sz w:val="22"/>
          <w:szCs w:val="22"/>
        </w:rPr>
      </w:pPr>
      <w:r w:rsidRPr="00DD5D23">
        <w:rPr>
          <w:sz w:val="22"/>
          <w:szCs w:val="22"/>
        </w:rPr>
        <w:t>Team Around the School (TAS)</w:t>
      </w:r>
    </w:p>
    <w:p w14:paraId="778185B2" w14:textId="77777777" w:rsidR="00770F4A" w:rsidRPr="00DD5D23" w:rsidRDefault="00770F4A" w:rsidP="00770F4A">
      <w:pPr>
        <w:numPr>
          <w:ilvl w:val="0"/>
          <w:numId w:val="3"/>
        </w:numPr>
        <w:rPr>
          <w:sz w:val="22"/>
          <w:szCs w:val="22"/>
        </w:rPr>
      </w:pPr>
      <w:r w:rsidRPr="00DD5D23">
        <w:rPr>
          <w:sz w:val="22"/>
          <w:szCs w:val="22"/>
        </w:rPr>
        <w:t>A strong focus on inclusion</w:t>
      </w:r>
    </w:p>
    <w:p w14:paraId="3EF2FD58" w14:textId="77777777" w:rsidR="00770F4A" w:rsidRPr="00DD5D23" w:rsidRDefault="00770F4A" w:rsidP="00770F4A">
      <w:pPr>
        <w:numPr>
          <w:ilvl w:val="0"/>
          <w:numId w:val="3"/>
        </w:numPr>
        <w:rPr>
          <w:sz w:val="22"/>
          <w:szCs w:val="22"/>
        </w:rPr>
      </w:pPr>
      <w:r w:rsidRPr="00DD5D23">
        <w:rPr>
          <w:sz w:val="22"/>
          <w:szCs w:val="22"/>
        </w:rPr>
        <w:t>Trauma-informed approaches</w:t>
      </w:r>
    </w:p>
    <w:p w14:paraId="0AEDE03B" w14:textId="77777777" w:rsidR="00770F4A" w:rsidRPr="00DD5D23" w:rsidRDefault="00770F4A" w:rsidP="00770F4A">
      <w:pPr>
        <w:numPr>
          <w:ilvl w:val="0"/>
          <w:numId w:val="3"/>
        </w:numPr>
        <w:rPr>
          <w:sz w:val="22"/>
          <w:szCs w:val="22"/>
        </w:rPr>
      </w:pPr>
      <w:r w:rsidRPr="00DD5D23">
        <w:rPr>
          <w:sz w:val="22"/>
          <w:szCs w:val="22"/>
        </w:rPr>
        <w:t>Systemic and relational practice</w:t>
      </w:r>
    </w:p>
    <w:p w14:paraId="62BFE0F1" w14:textId="77777777" w:rsidR="00770F4A" w:rsidRPr="00DD5D23" w:rsidRDefault="00770F4A" w:rsidP="00770F4A">
      <w:pPr>
        <w:numPr>
          <w:ilvl w:val="0"/>
          <w:numId w:val="3"/>
        </w:numPr>
        <w:rPr>
          <w:sz w:val="22"/>
          <w:szCs w:val="22"/>
        </w:rPr>
      </w:pPr>
      <w:r w:rsidRPr="00DD5D23">
        <w:rPr>
          <w:sz w:val="22"/>
          <w:szCs w:val="22"/>
        </w:rPr>
        <w:t>Family Group Conferencing (FGC)</w:t>
      </w:r>
    </w:p>
    <w:p w14:paraId="76256F84" w14:textId="77777777" w:rsidR="00770F4A" w:rsidRPr="00DD5D23" w:rsidRDefault="00770F4A" w:rsidP="00770F4A">
      <w:pPr>
        <w:numPr>
          <w:ilvl w:val="0"/>
          <w:numId w:val="3"/>
        </w:numPr>
        <w:rPr>
          <w:sz w:val="22"/>
          <w:szCs w:val="22"/>
        </w:rPr>
      </w:pPr>
      <w:r w:rsidRPr="00DD5D23">
        <w:rPr>
          <w:sz w:val="22"/>
          <w:szCs w:val="22"/>
        </w:rPr>
        <w:t>Strong, effective multi-agency partnerships</w:t>
      </w:r>
    </w:p>
    <w:p w14:paraId="1533FF5C" w14:textId="27AF4054" w:rsidR="00770F4A" w:rsidRPr="00DD5D23" w:rsidRDefault="00770F4A" w:rsidP="00770F4A">
      <w:pPr>
        <w:rPr>
          <w:sz w:val="22"/>
          <w:szCs w:val="22"/>
        </w:rPr>
      </w:pPr>
      <w:r w:rsidRPr="00DD5D23">
        <w:rPr>
          <w:sz w:val="22"/>
          <w:szCs w:val="22"/>
        </w:rPr>
        <w:t xml:space="preserve">These </w:t>
      </w:r>
      <w:r w:rsidR="0029426E" w:rsidRPr="00DD5D23">
        <w:rPr>
          <w:sz w:val="22"/>
          <w:szCs w:val="22"/>
        </w:rPr>
        <w:t xml:space="preserve">practices reflect a system already </w:t>
      </w:r>
      <w:r w:rsidR="00644A88" w:rsidRPr="00DD5D23">
        <w:rPr>
          <w:sz w:val="22"/>
          <w:szCs w:val="22"/>
        </w:rPr>
        <w:t xml:space="preserve">closely </w:t>
      </w:r>
      <w:r w:rsidR="0029426E" w:rsidRPr="00DD5D23">
        <w:rPr>
          <w:sz w:val="22"/>
          <w:szCs w:val="22"/>
        </w:rPr>
        <w:t xml:space="preserve">aligned with many </w:t>
      </w:r>
      <w:r w:rsidR="00644A88" w:rsidRPr="00DD5D23">
        <w:rPr>
          <w:sz w:val="22"/>
          <w:szCs w:val="22"/>
        </w:rPr>
        <w:t xml:space="preserve">of the core </w:t>
      </w:r>
      <w:r w:rsidR="0029426E" w:rsidRPr="00DD5D23">
        <w:rPr>
          <w:sz w:val="22"/>
          <w:szCs w:val="22"/>
        </w:rPr>
        <w:t>FFP values: putting relationships at the heart of support</w:t>
      </w:r>
      <w:r w:rsidR="00644A88" w:rsidRPr="00DD5D23">
        <w:rPr>
          <w:sz w:val="22"/>
          <w:szCs w:val="22"/>
        </w:rPr>
        <w:t>. This strong foundation enables us to move forward with r</w:t>
      </w:r>
      <w:r w:rsidRPr="00DD5D23">
        <w:rPr>
          <w:sz w:val="22"/>
          <w:szCs w:val="22"/>
        </w:rPr>
        <w:t>eal momentum.</w:t>
      </w:r>
    </w:p>
    <w:p w14:paraId="35195174" w14:textId="77777777" w:rsidR="0062455D" w:rsidRDefault="0062455D" w:rsidP="00644A88">
      <w:pPr>
        <w:rPr>
          <w:b/>
          <w:bCs/>
          <w:color w:val="4C94D8" w:themeColor="text2" w:themeTint="80"/>
          <w:sz w:val="22"/>
          <w:szCs w:val="22"/>
        </w:rPr>
      </w:pPr>
    </w:p>
    <w:p w14:paraId="0DBD149C" w14:textId="3660A7FC" w:rsidR="00644A88" w:rsidRPr="00DD5D23" w:rsidRDefault="00644A88" w:rsidP="00644A88">
      <w:pPr>
        <w:rPr>
          <w:b/>
          <w:bCs/>
          <w:color w:val="4C94D8" w:themeColor="text2" w:themeTint="80"/>
          <w:sz w:val="22"/>
          <w:szCs w:val="22"/>
        </w:rPr>
      </w:pPr>
      <w:r w:rsidRPr="00DD5D23">
        <w:rPr>
          <w:b/>
          <w:bCs/>
          <w:color w:val="4C94D8" w:themeColor="text2" w:themeTint="80"/>
          <w:sz w:val="22"/>
          <w:szCs w:val="22"/>
        </w:rPr>
        <w:lastRenderedPageBreak/>
        <w:t>What’s Changing?</w:t>
      </w:r>
    </w:p>
    <w:p w14:paraId="29CC4FC2" w14:textId="77777777" w:rsidR="00644A88" w:rsidRPr="00DD5D23" w:rsidRDefault="00644A88" w:rsidP="00644A88">
      <w:pPr>
        <w:rPr>
          <w:sz w:val="22"/>
          <w:szCs w:val="22"/>
        </w:rPr>
      </w:pPr>
      <w:r w:rsidRPr="00DD5D23">
        <w:rPr>
          <w:sz w:val="22"/>
          <w:szCs w:val="22"/>
        </w:rPr>
        <w:t>The FFP reforms mark a shift toward integrated working across all services that support families. Whether you work in policing, public health, early help, clinical care, social work, or community support, this approach aims to build a seamless, joined-up system that works with, not around, families</w:t>
      </w:r>
      <w:r w:rsidRPr="00DD5D23">
        <w:rPr>
          <w:i/>
          <w:iCs/>
          <w:sz w:val="22"/>
          <w:szCs w:val="22"/>
        </w:rPr>
        <w:t>.</w:t>
      </w:r>
    </w:p>
    <w:p w14:paraId="290E8A3D" w14:textId="5F1891DF" w:rsidR="00706FBA" w:rsidRPr="00DD5D23" w:rsidRDefault="00706FBA" w:rsidP="00706FBA">
      <w:pPr>
        <w:rPr>
          <w:b/>
          <w:bCs/>
          <w:color w:val="4C94D8" w:themeColor="text2" w:themeTint="80"/>
          <w:sz w:val="22"/>
          <w:szCs w:val="22"/>
        </w:rPr>
      </w:pPr>
      <w:r w:rsidRPr="00DD5D23">
        <w:rPr>
          <w:b/>
          <w:bCs/>
          <w:color w:val="4C94D8" w:themeColor="text2" w:themeTint="80"/>
          <w:sz w:val="22"/>
          <w:szCs w:val="22"/>
        </w:rPr>
        <w:t>What This Means for the FFP Rollout in Sefton</w:t>
      </w:r>
    </w:p>
    <w:p w14:paraId="2DDA009B" w14:textId="78B59991" w:rsidR="00706FBA" w:rsidRPr="00DD5D23" w:rsidRDefault="00706FBA" w:rsidP="00706FBA">
      <w:pPr>
        <w:rPr>
          <w:sz w:val="22"/>
          <w:szCs w:val="22"/>
        </w:rPr>
      </w:pPr>
      <w:r w:rsidRPr="00DD5D23">
        <w:rPr>
          <w:sz w:val="22"/>
          <w:szCs w:val="22"/>
        </w:rPr>
        <w:t xml:space="preserve">Thanks to the foundations already in place, </w:t>
      </w:r>
      <w:r w:rsidR="00644A88" w:rsidRPr="00DD5D23">
        <w:rPr>
          <w:sz w:val="22"/>
          <w:szCs w:val="22"/>
        </w:rPr>
        <w:t xml:space="preserve">the FFP rollout in </w:t>
      </w:r>
      <w:r w:rsidRPr="00DD5D23">
        <w:rPr>
          <w:sz w:val="22"/>
          <w:szCs w:val="22"/>
        </w:rPr>
        <w:t xml:space="preserve">Sefton is </w:t>
      </w:r>
      <w:r w:rsidR="00A503FB" w:rsidRPr="00DD5D23">
        <w:rPr>
          <w:sz w:val="22"/>
          <w:szCs w:val="22"/>
        </w:rPr>
        <w:t>less about redesigning from scratch and more about building on what works</w:t>
      </w:r>
      <w:r w:rsidRPr="00DD5D23">
        <w:rPr>
          <w:sz w:val="22"/>
          <w:szCs w:val="22"/>
        </w:rPr>
        <w:t>:</w:t>
      </w:r>
    </w:p>
    <w:p w14:paraId="3660B400" w14:textId="77777777" w:rsidR="00A503FB" w:rsidRPr="00DD5D23" w:rsidRDefault="00A503FB" w:rsidP="00A503FB">
      <w:pPr>
        <w:numPr>
          <w:ilvl w:val="0"/>
          <w:numId w:val="4"/>
        </w:numPr>
        <w:rPr>
          <w:sz w:val="22"/>
          <w:szCs w:val="22"/>
        </w:rPr>
      </w:pPr>
      <w:r w:rsidRPr="00DD5D23">
        <w:rPr>
          <w:sz w:val="22"/>
          <w:szCs w:val="22"/>
        </w:rPr>
        <w:t>We are reforming from a place of readiness and ambition.</w:t>
      </w:r>
    </w:p>
    <w:p w14:paraId="7F32B0F8" w14:textId="77777777" w:rsidR="00A503FB" w:rsidRPr="00DD5D23" w:rsidRDefault="00A503FB" w:rsidP="00A503FB">
      <w:pPr>
        <w:numPr>
          <w:ilvl w:val="0"/>
          <w:numId w:val="4"/>
        </w:numPr>
        <w:rPr>
          <w:sz w:val="22"/>
          <w:szCs w:val="22"/>
        </w:rPr>
      </w:pPr>
      <w:r w:rsidRPr="00DD5D23">
        <w:rPr>
          <w:sz w:val="22"/>
          <w:szCs w:val="22"/>
        </w:rPr>
        <w:t>Models like FGC and TAS demonstrate our multi-agency commitment to working with families.</w:t>
      </w:r>
    </w:p>
    <w:p w14:paraId="56BC2143" w14:textId="77777777" w:rsidR="00A503FB" w:rsidRPr="00DD5D23" w:rsidRDefault="00A503FB" w:rsidP="00A503FB">
      <w:pPr>
        <w:numPr>
          <w:ilvl w:val="0"/>
          <w:numId w:val="4"/>
        </w:numPr>
        <w:rPr>
          <w:sz w:val="22"/>
          <w:szCs w:val="22"/>
        </w:rPr>
      </w:pPr>
      <w:r w:rsidRPr="00DD5D23">
        <w:rPr>
          <w:sz w:val="22"/>
          <w:szCs w:val="22"/>
        </w:rPr>
        <w:t>Our system-wide trauma-informed and relational practices create the conditions for trust and consistency.</w:t>
      </w:r>
    </w:p>
    <w:p w14:paraId="0A54FB42" w14:textId="77777777" w:rsidR="00A503FB" w:rsidRPr="00DD5D23" w:rsidRDefault="00A503FB" w:rsidP="00A503FB">
      <w:pPr>
        <w:numPr>
          <w:ilvl w:val="0"/>
          <w:numId w:val="4"/>
        </w:numPr>
        <w:rPr>
          <w:sz w:val="22"/>
          <w:szCs w:val="22"/>
        </w:rPr>
      </w:pPr>
      <w:r w:rsidRPr="00DD5D23">
        <w:rPr>
          <w:sz w:val="22"/>
          <w:szCs w:val="22"/>
        </w:rPr>
        <w:t>We are growing a learning culture, where we reflect together rather than assign blame.</w:t>
      </w:r>
    </w:p>
    <w:p w14:paraId="7907EF16" w14:textId="77777777" w:rsidR="00706FBA" w:rsidRPr="00DD5D23" w:rsidRDefault="00706FBA" w:rsidP="00A503FB">
      <w:pPr>
        <w:numPr>
          <w:ilvl w:val="0"/>
          <w:numId w:val="4"/>
        </w:numPr>
        <w:rPr>
          <w:sz w:val="22"/>
          <w:szCs w:val="22"/>
        </w:rPr>
      </w:pPr>
      <w:r w:rsidRPr="00DD5D23">
        <w:rPr>
          <w:sz w:val="22"/>
          <w:szCs w:val="22"/>
        </w:rPr>
        <w:t>Through lived experience and co-production, we’re designing services alongside the people who use them.</w:t>
      </w:r>
    </w:p>
    <w:p w14:paraId="67C70309" w14:textId="77777777" w:rsidR="00A503FB" w:rsidRPr="00DD5D23" w:rsidRDefault="00A503FB" w:rsidP="00A503FB">
      <w:pPr>
        <w:numPr>
          <w:ilvl w:val="0"/>
          <w:numId w:val="4"/>
        </w:numPr>
        <w:rPr>
          <w:sz w:val="22"/>
          <w:szCs w:val="22"/>
        </w:rPr>
      </w:pPr>
      <w:r w:rsidRPr="00DD5D23">
        <w:rPr>
          <w:sz w:val="22"/>
          <w:szCs w:val="22"/>
        </w:rPr>
        <w:t>We’re aiming for seamless family journeys, removing siloed responses and unnecessary handoffs.</w:t>
      </w:r>
    </w:p>
    <w:p w14:paraId="7D733105" w14:textId="77777777" w:rsidR="00706FBA" w:rsidRPr="00DD5D23" w:rsidRDefault="00706FBA" w:rsidP="00706FBA">
      <w:pPr>
        <w:numPr>
          <w:ilvl w:val="0"/>
          <w:numId w:val="4"/>
        </w:numPr>
        <w:rPr>
          <w:sz w:val="22"/>
          <w:szCs w:val="22"/>
        </w:rPr>
      </w:pPr>
      <w:r w:rsidRPr="00DD5D23">
        <w:rPr>
          <w:sz w:val="22"/>
          <w:szCs w:val="22"/>
        </w:rPr>
        <w:t>We are evidencing improved outcomes—whether through TAS, FGC, CHAT, or FAST.</w:t>
      </w:r>
    </w:p>
    <w:p w14:paraId="7C697901" w14:textId="0A29333D" w:rsidR="00BC47A7" w:rsidRPr="00DD5D23" w:rsidRDefault="00BC47A7" w:rsidP="00BC47A7">
      <w:pPr>
        <w:rPr>
          <w:b/>
          <w:bCs/>
          <w:sz w:val="22"/>
          <w:szCs w:val="22"/>
        </w:rPr>
      </w:pPr>
      <w:r w:rsidRPr="00DD5D23">
        <w:rPr>
          <w:b/>
          <w:bCs/>
          <w:color w:val="4C94D8" w:themeColor="text2" w:themeTint="80"/>
          <w:sz w:val="22"/>
          <w:szCs w:val="22"/>
        </w:rPr>
        <w:t>What does this mean for you?</w:t>
      </w:r>
      <w:r w:rsidRPr="00DD5D23">
        <w:rPr>
          <w:b/>
          <w:bCs/>
          <w:sz w:val="22"/>
          <w:szCs w:val="22"/>
        </w:rPr>
        <w:br/>
      </w:r>
      <w:r w:rsidRPr="00DD5D23">
        <w:rPr>
          <w:sz w:val="22"/>
          <w:szCs w:val="22"/>
        </w:rPr>
        <w:t>You may see new ways of working, including:</w:t>
      </w:r>
    </w:p>
    <w:p w14:paraId="75541724" w14:textId="77777777" w:rsidR="00BC47A7" w:rsidRPr="00DD5D23" w:rsidRDefault="00BC47A7" w:rsidP="00BC47A7">
      <w:pPr>
        <w:numPr>
          <w:ilvl w:val="0"/>
          <w:numId w:val="2"/>
        </w:numPr>
        <w:rPr>
          <w:sz w:val="22"/>
          <w:szCs w:val="22"/>
        </w:rPr>
      </w:pPr>
      <w:r w:rsidRPr="00DD5D23">
        <w:rPr>
          <w:sz w:val="22"/>
          <w:szCs w:val="22"/>
        </w:rPr>
        <w:t>Cross-service team meetings or huddles</w:t>
      </w:r>
    </w:p>
    <w:p w14:paraId="3608C2FB" w14:textId="77777777" w:rsidR="00BC47A7" w:rsidRPr="00DD5D23" w:rsidRDefault="00BC47A7" w:rsidP="00BC47A7">
      <w:pPr>
        <w:numPr>
          <w:ilvl w:val="0"/>
          <w:numId w:val="2"/>
        </w:numPr>
        <w:rPr>
          <w:sz w:val="22"/>
          <w:szCs w:val="22"/>
        </w:rPr>
      </w:pPr>
      <w:r w:rsidRPr="00DD5D23">
        <w:rPr>
          <w:sz w:val="22"/>
          <w:szCs w:val="22"/>
        </w:rPr>
        <w:lastRenderedPageBreak/>
        <w:t>More consistent tools and frameworks for assessment and planning</w:t>
      </w:r>
    </w:p>
    <w:p w14:paraId="092CD740" w14:textId="77777777" w:rsidR="00BC47A7" w:rsidRPr="00DD5D23" w:rsidRDefault="00BC47A7" w:rsidP="00BC47A7">
      <w:pPr>
        <w:numPr>
          <w:ilvl w:val="0"/>
          <w:numId w:val="2"/>
        </w:numPr>
        <w:rPr>
          <w:sz w:val="22"/>
          <w:szCs w:val="22"/>
        </w:rPr>
      </w:pPr>
      <w:r w:rsidRPr="00DD5D23">
        <w:rPr>
          <w:sz w:val="22"/>
          <w:szCs w:val="22"/>
        </w:rPr>
        <w:t>Shared digital pathways for referrals and case management</w:t>
      </w:r>
    </w:p>
    <w:p w14:paraId="07793CBC" w14:textId="299DE902" w:rsidR="00A8446B" w:rsidRPr="00DD5D23" w:rsidRDefault="00BC47A7" w:rsidP="00BC47A7">
      <w:pPr>
        <w:numPr>
          <w:ilvl w:val="0"/>
          <w:numId w:val="2"/>
        </w:numPr>
        <w:rPr>
          <w:sz w:val="22"/>
          <w:szCs w:val="22"/>
        </w:rPr>
      </w:pPr>
      <w:r w:rsidRPr="00DD5D23">
        <w:rPr>
          <w:sz w:val="22"/>
          <w:szCs w:val="22"/>
        </w:rPr>
        <w:t>Learning and development opportunities to support the new ways of working</w:t>
      </w:r>
    </w:p>
    <w:p w14:paraId="3DC16E2B" w14:textId="77777777" w:rsidR="00885CF6" w:rsidRPr="00DD5D23" w:rsidRDefault="00885CF6" w:rsidP="00885CF6">
      <w:pPr>
        <w:rPr>
          <w:b/>
          <w:bCs/>
          <w:color w:val="4C94D8" w:themeColor="text2" w:themeTint="80"/>
          <w:sz w:val="22"/>
          <w:szCs w:val="22"/>
        </w:rPr>
      </w:pPr>
      <w:r w:rsidRPr="00DD5D23">
        <w:rPr>
          <w:b/>
          <w:bCs/>
          <w:color w:val="4C94D8" w:themeColor="text2" w:themeTint="80"/>
          <w:sz w:val="22"/>
          <w:szCs w:val="22"/>
        </w:rPr>
        <w:t>Get Involved</w:t>
      </w:r>
    </w:p>
    <w:p w14:paraId="7AEAEE32" w14:textId="1D7244F6" w:rsidR="00BC47A7" w:rsidRPr="00DD5D23" w:rsidRDefault="00BC47A7" w:rsidP="00BC47A7">
      <w:pPr>
        <w:rPr>
          <w:sz w:val="22"/>
          <w:szCs w:val="22"/>
        </w:rPr>
      </w:pPr>
      <w:r w:rsidRPr="00DD5D23">
        <w:rPr>
          <w:sz w:val="22"/>
          <w:szCs w:val="22"/>
        </w:rPr>
        <w:t>You</w:t>
      </w:r>
      <w:r w:rsidR="00A8446B" w:rsidRPr="00DD5D23">
        <w:rPr>
          <w:sz w:val="22"/>
          <w:szCs w:val="22"/>
        </w:rPr>
        <w:t xml:space="preserve"> are central to</w:t>
      </w:r>
      <w:r w:rsidRPr="00DD5D23">
        <w:rPr>
          <w:sz w:val="22"/>
          <w:szCs w:val="22"/>
        </w:rPr>
        <w:t xml:space="preserve"> this transformation</w:t>
      </w:r>
      <w:r w:rsidR="00D75810" w:rsidRPr="00DD5D23">
        <w:rPr>
          <w:sz w:val="22"/>
          <w:szCs w:val="22"/>
        </w:rPr>
        <w:t xml:space="preserve">. </w:t>
      </w:r>
      <w:r w:rsidR="00A8446B" w:rsidRPr="00DD5D23">
        <w:rPr>
          <w:sz w:val="22"/>
          <w:szCs w:val="22"/>
        </w:rPr>
        <w:t>W</w:t>
      </w:r>
      <w:r w:rsidRPr="00DD5D23">
        <w:rPr>
          <w:sz w:val="22"/>
          <w:szCs w:val="22"/>
        </w:rPr>
        <w:t>e want to ensure you feel equipped, connected, and inspired</w:t>
      </w:r>
      <w:r w:rsidR="00ED36D2" w:rsidRPr="00DD5D23">
        <w:rPr>
          <w:sz w:val="22"/>
          <w:szCs w:val="22"/>
        </w:rPr>
        <w:t>. O</w:t>
      </w:r>
      <w:r w:rsidRPr="00DD5D23">
        <w:rPr>
          <w:sz w:val="22"/>
          <w:szCs w:val="22"/>
        </w:rPr>
        <w:t>ver the coming weeks</w:t>
      </w:r>
      <w:r w:rsidR="00ED36D2" w:rsidRPr="00DD5D23">
        <w:rPr>
          <w:sz w:val="22"/>
          <w:szCs w:val="22"/>
        </w:rPr>
        <w:t>,</w:t>
      </w:r>
      <w:r w:rsidRPr="00DD5D23">
        <w:rPr>
          <w:sz w:val="22"/>
          <w:szCs w:val="22"/>
        </w:rPr>
        <w:t xml:space="preserve"> we’ll be hosting </w:t>
      </w:r>
      <w:r w:rsidR="00DC78CE" w:rsidRPr="00DD5D23">
        <w:rPr>
          <w:sz w:val="22"/>
          <w:szCs w:val="22"/>
        </w:rPr>
        <w:t xml:space="preserve">engagement and awareness sessions, alongside </w:t>
      </w:r>
      <w:r w:rsidR="00ED36D2" w:rsidRPr="00DD5D23">
        <w:rPr>
          <w:sz w:val="22"/>
          <w:szCs w:val="22"/>
        </w:rPr>
        <w:t>n</w:t>
      </w:r>
      <w:r w:rsidR="00DC78CE" w:rsidRPr="00DD5D23">
        <w:rPr>
          <w:sz w:val="22"/>
          <w:szCs w:val="22"/>
        </w:rPr>
        <w:t xml:space="preserve">ewsletters, podcasts, and 7-minute </w:t>
      </w:r>
      <w:r w:rsidR="00ED36D2" w:rsidRPr="00DD5D23">
        <w:rPr>
          <w:sz w:val="22"/>
          <w:szCs w:val="22"/>
        </w:rPr>
        <w:t>briefings</w:t>
      </w:r>
      <w:r w:rsidR="00C00959" w:rsidRPr="00DD5D23">
        <w:rPr>
          <w:sz w:val="22"/>
          <w:szCs w:val="22"/>
        </w:rPr>
        <w:t xml:space="preserve">. </w:t>
      </w:r>
      <w:r w:rsidR="004745CD" w:rsidRPr="00DD5D23">
        <w:rPr>
          <w:sz w:val="22"/>
          <w:szCs w:val="22"/>
        </w:rPr>
        <w:t>Our</w:t>
      </w:r>
      <w:r w:rsidR="00C84F0A" w:rsidRPr="00DD5D23">
        <w:rPr>
          <w:sz w:val="22"/>
          <w:szCs w:val="22"/>
        </w:rPr>
        <w:t xml:space="preserve"> website will be regularly updated – feel free to visit </w:t>
      </w:r>
      <w:r w:rsidR="00D83B08" w:rsidRPr="00DD5D23">
        <w:rPr>
          <w:sz w:val="22"/>
          <w:szCs w:val="22"/>
        </w:rPr>
        <w:t>anytime to stay informed, simply scan the QR code below.</w:t>
      </w:r>
    </w:p>
    <w:p w14:paraId="79346A9D" w14:textId="12343935" w:rsidR="00361CE8" w:rsidRPr="00DD5D23" w:rsidRDefault="00AE5AD1" w:rsidP="00885CF6">
      <w:pPr>
        <w:rPr>
          <w:sz w:val="22"/>
          <w:szCs w:val="22"/>
        </w:rPr>
      </w:pPr>
      <w:r w:rsidRPr="00DD5D23">
        <w:rPr>
          <w:sz w:val="22"/>
          <w:szCs w:val="22"/>
        </w:rPr>
        <w:t xml:space="preserve">To </w:t>
      </w:r>
      <w:r w:rsidR="00885CF6" w:rsidRPr="00DD5D23">
        <w:rPr>
          <w:sz w:val="22"/>
          <w:szCs w:val="22"/>
        </w:rPr>
        <w:t>help us understand what’s working well, t</w:t>
      </w:r>
      <w:r w:rsidR="00ED36D2" w:rsidRPr="00DD5D23">
        <w:rPr>
          <w:sz w:val="22"/>
          <w:szCs w:val="22"/>
        </w:rPr>
        <w:t>he</w:t>
      </w:r>
      <w:r w:rsidR="00885CF6" w:rsidRPr="00DD5D23">
        <w:rPr>
          <w:sz w:val="22"/>
          <w:szCs w:val="22"/>
        </w:rPr>
        <w:t xml:space="preserve"> challenges you face, and where you see opportunities, please take a moment to complete our short survey. </w:t>
      </w:r>
    </w:p>
    <w:p w14:paraId="31F30611" w14:textId="4FDF809B" w:rsidR="00885CF6" w:rsidRDefault="0084514E" w:rsidP="00885CF6">
      <w:r w:rsidRPr="00DD5D23">
        <w:rPr>
          <w:sz w:val="22"/>
          <w:szCs w:val="22"/>
        </w:rPr>
        <w:t>S</w:t>
      </w:r>
      <w:r w:rsidR="00885CF6" w:rsidRPr="00DD5D23">
        <w:rPr>
          <w:sz w:val="22"/>
          <w:szCs w:val="22"/>
        </w:rPr>
        <w:t>can the QR code to get started</w:t>
      </w:r>
      <w:r w:rsidR="00885CF6">
        <w:t xml:space="preserve">. </w:t>
      </w:r>
    </w:p>
    <w:p w14:paraId="79898283" w14:textId="4C558D1B" w:rsidR="00171F42" w:rsidRDefault="00DD5D23" w:rsidP="00BC47A7">
      <w:r w:rsidRPr="00DD5D23">
        <w:rPr>
          <w:noProof/>
          <w:sz w:val="22"/>
          <w:szCs w:val="22"/>
        </w:rPr>
        <w:drawing>
          <wp:anchor distT="0" distB="0" distL="114300" distR="114300" simplePos="0" relativeHeight="251659264" behindDoc="0" locked="0" layoutInCell="1" allowOverlap="1" wp14:anchorId="54395243" wp14:editId="3C0BCFBC">
            <wp:simplePos x="0" y="0"/>
            <wp:positionH relativeFrom="margin">
              <wp:posOffset>15297</wp:posOffset>
            </wp:positionH>
            <wp:positionV relativeFrom="paragraph">
              <wp:posOffset>90445</wp:posOffset>
            </wp:positionV>
            <wp:extent cx="994867" cy="994867"/>
            <wp:effectExtent l="0" t="0" r="0" b="0"/>
            <wp:wrapNone/>
            <wp:docPr id="520528922"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28922" name="Picture 1" descr="A qr code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4867" cy="9948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F1A94" w14:textId="77777777" w:rsidR="00361CE8" w:rsidRDefault="00361CE8" w:rsidP="00BC47A7">
      <w:pPr>
        <w:rPr>
          <w:b/>
          <w:bCs/>
        </w:rPr>
      </w:pPr>
    </w:p>
    <w:p w14:paraId="7C1F8D64" w14:textId="77777777" w:rsidR="00DD5D23" w:rsidRDefault="00DD5D23" w:rsidP="00BC47A7">
      <w:pPr>
        <w:rPr>
          <w:b/>
          <w:bCs/>
          <w:sz w:val="22"/>
          <w:szCs w:val="22"/>
        </w:rPr>
      </w:pPr>
    </w:p>
    <w:p w14:paraId="0D3F436B" w14:textId="77777777" w:rsidR="00DD5D23" w:rsidRDefault="00DD5D23" w:rsidP="00BC47A7">
      <w:pPr>
        <w:rPr>
          <w:b/>
          <w:bCs/>
          <w:sz w:val="22"/>
          <w:szCs w:val="22"/>
        </w:rPr>
      </w:pPr>
    </w:p>
    <w:p w14:paraId="4FB1F938" w14:textId="77777777" w:rsidR="00DD5D23" w:rsidRDefault="00DD5D23" w:rsidP="00BC47A7">
      <w:pPr>
        <w:rPr>
          <w:b/>
          <w:bCs/>
          <w:sz w:val="22"/>
          <w:szCs w:val="22"/>
        </w:rPr>
      </w:pPr>
    </w:p>
    <w:p w14:paraId="31473CD9" w14:textId="4F0A0D6D" w:rsidR="00BC47A7" w:rsidRPr="00DD5D23" w:rsidRDefault="003F5513" w:rsidP="00BC47A7">
      <w:pPr>
        <w:rPr>
          <w:b/>
          <w:bCs/>
          <w:sz w:val="22"/>
          <w:szCs w:val="22"/>
        </w:rPr>
      </w:pPr>
      <w:r w:rsidRPr="00DD5D23">
        <w:rPr>
          <w:b/>
          <w:bCs/>
          <w:sz w:val="22"/>
          <w:szCs w:val="22"/>
        </w:rPr>
        <w:t>This is more than just a change</w:t>
      </w:r>
      <w:r w:rsidR="00ED36D2" w:rsidRPr="00DD5D23">
        <w:rPr>
          <w:b/>
          <w:bCs/>
          <w:sz w:val="22"/>
          <w:szCs w:val="22"/>
        </w:rPr>
        <w:t xml:space="preserve"> -</w:t>
      </w:r>
      <w:r w:rsidRPr="00DD5D23">
        <w:rPr>
          <w:b/>
          <w:bCs/>
          <w:sz w:val="22"/>
          <w:szCs w:val="22"/>
        </w:rPr>
        <w:t xml:space="preserve"> it’s a commitment to a better way of working</w:t>
      </w:r>
      <w:r w:rsidR="00ED36D2" w:rsidRPr="00DD5D23">
        <w:rPr>
          <w:b/>
          <w:bCs/>
          <w:sz w:val="22"/>
          <w:szCs w:val="22"/>
        </w:rPr>
        <w:t>,</w:t>
      </w:r>
      <w:r w:rsidR="00DC78CE" w:rsidRPr="00DD5D23">
        <w:rPr>
          <w:b/>
          <w:bCs/>
          <w:sz w:val="22"/>
          <w:szCs w:val="22"/>
        </w:rPr>
        <w:t xml:space="preserve"> and we look forward to collaborating with you</w:t>
      </w:r>
      <w:r w:rsidRPr="00DD5D23">
        <w:rPr>
          <w:b/>
          <w:bCs/>
          <w:sz w:val="22"/>
          <w:szCs w:val="22"/>
        </w:rPr>
        <w:t>.</w:t>
      </w:r>
    </w:p>
    <w:p w14:paraId="6EF36C67" w14:textId="77777777" w:rsidR="00BC47A7" w:rsidRDefault="00BC47A7"/>
    <w:sectPr w:rsidR="00BC47A7" w:rsidSect="009F5BDB">
      <w:headerReference w:type="default" r:id="rId11"/>
      <w:footerReference w:type="default" r:id="rId12"/>
      <w:pgSz w:w="11906" w:h="16838"/>
      <w:pgMar w:top="5670"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BD2E0" w14:textId="77777777" w:rsidR="00FB2A25" w:rsidRDefault="00FB2A25" w:rsidP="00EF7E1D">
      <w:pPr>
        <w:spacing w:after="0" w:line="240" w:lineRule="auto"/>
      </w:pPr>
      <w:r>
        <w:separator/>
      </w:r>
    </w:p>
  </w:endnote>
  <w:endnote w:type="continuationSeparator" w:id="0">
    <w:p w14:paraId="4A149BD5" w14:textId="77777777" w:rsidR="00FB2A25" w:rsidRDefault="00FB2A25" w:rsidP="00EF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24A6" w14:textId="236DBB30" w:rsidR="00EF7E1D" w:rsidRPr="00EF7E1D" w:rsidRDefault="00EF7E1D" w:rsidP="00EF7E1D">
    <w:pPr>
      <w:jc w:val="right"/>
      <w:rPr>
        <w:b/>
        <w:bCs/>
        <w:color w:val="4C94D8" w:themeColor="text2" w:themeTint="80"/>
        <w:sz w:val="40"/>
        <w:szCs w:val="40"/>
      </w:rPr>
    </w:pPr>
    <w:r w:rsidRPr="00EF7E1D">
      <w:rPr>
        <w:b/>
        <w:bCs/>
        <w:color w:val="4C94D8" w:themeColor="text2" w:themeTint="80"/>
        <w:sz w:val="40"/>
        <w:szCs w:val="40"/>
      </w:rPr>
      <w:t>July 2025</w:t>
    </w:r>
  </w:p>
  <w:p w14:paraId="6A871075" w14:textId="77777777" w:rsidR="00EF7E1D" w:rsidRDefault="00EF7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8C77A" w14:textId="77777777" w:rsidR="00FB2A25" w:rsidRDefault="00FB2A25" w:rsidP="00EF7E1D">
      <w:pPr>
        <w:spacing w:after="0" w:line="240" w:lineRule="auto"/>
      </w:pPr>
      <w:r>
        <w:separator/>
      </w:r>
    </w:p>
  </w:footnote>
  <w:footnote w:type="continuationSeparator" w:id="0">
    <w:p w14:paraId="3DAAB3F3" w14:textId="77777777" w:rsidR="00FB2A25" w:rsidRDefault="00FB2A25" w:rsidP="00EF7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57F8" w14:textId="4E3E0667" w:rsidR="00EF7E1D" w:rsidRDefault="009F5BDB">
    <w:pPr>
      <w:pStyle w:val="Header"/>
    </w:pPr>
    <w:r>
      <w:rPr>
        <w:noProof/>
      </w:rPr>
      <w:drawing>
        <wp:anchor distT="0" distB="0" distL="114300" distR="114300" simplePos="0" relativeHeight="251658240" behindDoc="1" locked="0" layoutInCell="1" allowOverlap="1" wp14:anchorId="3C887F6D" wp14:editId="1C8E6878">
          <wp:simplePos x="0" y="0"/>
          <wp:positionH relativeFrom="page">
            <wp:align>right</wp:align>
          </wp:positionH>
          <wp:positionV relativeFrom="paragraph">
            <wp:posOffset>-450215</wp:posOffset>
          </wp:positionV>
          <wp:extent cx="7548650" cy="10677525"/>
          <wp:effectExtent l="0" t="0" r="0" b="0"/>
          <wp:wrapNone/>
          <wp:docPr id="1800004491" name="Picture 2" descr="A white paper with yellow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04491" name="Picture 2" descr="A white paper with yellow and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8650" cy="10677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544"/>
    <w:multiLevelType w:val="multilevel"/>
    <w:tmpl w:val="87A8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923B4"/>
    <w:multiLevelType w:val="multilevel"/>
    <w:tmpl w:val="C7B0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6511C"/>
    <w:multiLevelType w:val="multilevel"/>
    <w:tmpl w:val="F0A0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6505E"/>
    <w:multiLevelType w:val="multilevel"/>
    <w:tmpl w:val="D9B8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62A32"/>
    <w:multiLevelType w:val="multilevel"/>
    <w:tmpl w:val="E044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400486">
    <w:abstractNumId w:val="0"/>
  </w:num>
  <w:num w:numId="2" w16cid:durableId="1578401003">
    <w:abstractNumId w:val="3"/>
  </w:num>
  <w:num w:numId="3" w16cid:durableId="1869250431">
    <w:abstractNumId w:val="2"/>
  </w:num>
  <w:num w:numId="4" w16cid:durableId="1952392690">
    <w:abstractNumId w:val="1"/>
  </w:num>
  <w:num w:numId="5" w16cid:durableId="1530215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A7"/>
    <w:rsid w:val="000170B4"/>
    <w:rsid w:val="00044A38"/>
    <w:rsid w:val="0009434C"/>
    <w:rsid w:val="000F3CA8"/>
    <w:rsid w:val="000F5545"/>
    <w:rsid w:val="00132C90"/>
    <w:rsid w:val="00134694"/>
    <w:rsid w:val="00171F42"/>
    <w:rsid w:val="001A4ABD"/>
    <w:rsid w:val="00231608"/>
    <w:rsid w:val="0029426E"/>
    <w:rsid w:val="002A1CD0"/>
    <w:rsid w:val="003563D1"/>
    <w:rsid w:val="00361CE8"/>
    <w:rsid w:val="003A19F3"/>
    <w:rsid w:val="003E4790"/>
    <w:rsid w:val="003F5513"/>
    <w:rsid w:val="00416490"/>
    <w:rsid w:val="004745CD"/>
    <w:rsid w:val="00490B18"/>
    <w:rsid w:val="00490E4E"/>
    <w:rsid w:val="00491FAB"/>
    <w:rsid w:val="004B1F3C"/>
    <w:rsid w:val="004D1740"/>
    <w:rsid w:val="004E4BE6"/>
    <w:rsid w:val="005465B6"/>
    <w:rsid w:val="00563853"/>
    <w:rsid w:val="00583B25"/>
    <w:rsid w:val="005D21D1"/>
    <w:rsid w:val="0062455D"/>
    <w:rsid w:val="00644A88"/>
    <w:rsid w:val="006901D4"/>
    <w:rsid w:val="00706FBA"/>
    <w:rsid w:val="00712194"/>
    <w:rsid w:val="0073269F"/>
    <w:rsid w:val="00770F4A"/>
    <w:rsid w:val="00802D10"/>
    <w:rsid w:val="0084514E"/>
    <w:rsid w:val="00885CF6"/>
    <w:rsid w:val="008C31BF"/>
    <w:rsid w:val="008D3A2E"/>
    <w:rsid w:val="00910D8B"/>
    <w:rsid w:val="0099495F"/>
    <w:rsid w:val="009A3FCF"/>
    <w:rsid w:val="009B2DA1"/>
    <w:rsid w:val="009D62CD"/>
    <w:rsid w:val="009F5BDB"/>
    <w:rsid w:val="009F5C97"/>
    <w:rsid w:val="009F7E06"/>
    <w:rsid w:val="00A06B5B"/>
    <w:rsid w:val="00A07923"/>
    <w:rsid w:val="00A430DD"/>
    <w:rsid w:val="00A503FB"/>
    <w:rsid w:val="00A8446B"/>
    <w:rsid w:val="00AE5AD1"/>
    <w:rsid w:val="00BC47A7"/>
    <w:rsid w:val="00C00959"/>
    <w:rsid w:val="00C02AFD"/>
    <w:rsid w:val="00C84F0A"/>
    <w:rsid w:val="00CE56F5"/>
    <w:rsid w:val="00D17A5B"/>
    <w:rsid w:val="00D75810"/>
    <w:rsid w:val="00D83B08"/>
    <w:rsid w:val="00DC78CE"/>
    <w:rsid w:val="00DD5D23"/>
    <w:rsid w:val="00E171FE"/>
    <w:rsid w:val="00EA38E8"/>
    <w:rsid w:val="00EA4592"/>
    <w:rsid w:val="00ED36D2"/>
    <w:rsid w:val="00ED5556"/>
    <w:rsid w:val="00EF7E1D"/>
    <w:rsid w:val="00F64676"/>
    <w:rsid w:val="00F979E6"/>
    <w:rsid w:val="00FB2A25"/>
    <w:rsid w:val="00FC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A9C70"/>
  <w15:chartTrackingRefBased/>
  <w15:docId w15:val="{214818C2-826B-45D4-B33A-DED7C568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7A7"/>
    <w:rPr>
      <w:rFonts w:eastAsiaTheme="majorEastAsia" w:cstheme="majorBidi"/>
      <w:color w:val="272727" w:themeColor="text1" w:themeTint="D8"/>
    </w:rPr>
  </w:style>
  <w:style w:type="paragraph" w:styleId="Title">
    <w:name w:val="Title"/>
    <w:basedOn w:val="Normal"/>
    <w:next w:val="Normal"/>
    <w:link w:val="TitleChar"/>
    <w:uiPriority w:val="10"/>
    <w:qFormat/>
    <w:rsid w:val="00BC4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7A7"/>
    <w:pPr>
      <w:spacing w:before="160"/>
      <w:jc w:val="center"/>
    </w:pPr>
    <w:rPr>
      <w:i/>
      <w:iCs/>
      <w:color w:val="404040" w:themeColor="text1" w:themeTint="BF"/>
    </w:rPr>
  </w:style>
  <w:style w:type="character" w:customStyle="1" w:styleId="QuoteChar">
    <w:name w:val="Quote Char"/>
    <w:basedOn w:val="DefaultParagraphFont"/>
    <w:link w:val="Quote"/>
    <w:uiPriority w:val="29"/>
    <w:rsid w:val="00BC47A7"/>
    <w:rPr>
      <w:i/>
      <w:iCs/>
      <w:color w:val="404040" w:themeColor="text1" w:themeTint="BF"/>
    </w:rPr>
  </w:style>
  <w:style w:type="paragraph" w:styleId="ListParagraph">
    <w:name w:val="List Paragraph"/>
    <w:basedOn w:val="Normal"/>
    <w:uiPriority w:val="34"/>
    <w:qFormat/>
    <w:rsid w:val="00BC47A7"/>
    <w:pPr>
      <w:ind w:left="720"/>
      <w:contextualSpacing/>
    </w:pPr>
  </w:style>
  <w:style w:type="character" w:styleId="IntenseEmphasis">
    <w:name w:val="Intense Emphasis"/>
    <w:basedOn w:val="DefaultParagraphFont"/>
    <w:uiPriority w:val="21"/>
    <w:qFormat/>
    <w:rsid w:val="00BC47A7"/>
    <w:rPr>
      <w:i/>
      <w:iCs/>
      <w:color w:val="0F4761" w:themeColor="accent1" w:themeShade="BF"/>
    </w:rPr>
  </w:style>
  <w:style w:type="paragraph" w:styleId="IntenseQuote">
    <w:name w:val="Intense Quote"/>
    <w:basedOn w:val="Normal"/>
    <w:next w:val="Normal"/>
    <w:link w:val="IntenseQuoteChar"/>
    <w:uiPriority w:val="30"/>
    <w:qFormat/>
    <w:rsid w:val="00BC4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7A7"/>
    <w:rPr>
      <w:i/>
      <w:iCs/>
      <w:color w:val="0F4761" w:themeColor="accent1" w:themeShade="BF"/>
    </w:rPr>
  </w:style>
  <w:style w:type="character" w:styleId="IntenseReference">
    <w:name w:val="Intense Reference"/>
    <w:basedOn w:val="DefaultParagraphFont"/>
    <w:uiPriority w:val="32"/>
    <w:qFormat/>
    <w:rsid w:val="00BC47A7"/>
    <w:rPr>
      <w:b/>
      <w:bCs/>
      <w:smallCaps/>
      <w:color w:val="0F4761" w:themeColor="accent1" w:themeShade="BF"/>
      <w:spacing w:val="5"/>
    </w:rPr>
  </w:style>
  <w:style w:type="paragraph" w:styleId="Header">
    <w:name w:val="header"/>
    <w:basedOn w:val="Normal"/>
    <w:link w:val="HeaderChar"/>
    <w:uiPriority w:val="99"/>
    <w:unhideWhenUsed/>
    <w:rsid w:val="00EF7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E1D"/>
  </w:style>
  <w:style w:type="paragraph" w:styleId="Footer">
    <w:name w:val="footer"/>
    <w:basedOn w:val="Normal"/>
    <w:link w:val="FooterChar"/>
    <w:uiPriority w:val="99"/>
    <w:unhideWhenUsed/>
    <w:rsid w:val="00EF7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47986">
      <w:bodyDiv w:val="1"/>
      <w:marLeft w:val="0"/>
      <w:marRight w:val="0"/>
      <w:marTop w:val="0"/>
      <w:marBottom w:val="0"/>
      <w:divBdr>
        <w:top w:val="none" w:sz="0" w:space="0" w:color="auto"/>
        <w:left w:val="none" w:sz="0" w:space="0" w:color="auto"/>
        <w:bottom w:val="none" w:sz="0" w:space="0" w:color="auto"/>
        <w:right w:val="none" w:sz="0" w:space="0" w:color="auto"/>
      </w:divBdr>
    </w:div>
    <w:div w:id="672075709">
      <w:bodyDiv w:val="1"/>
      <w:marLeft w:val="0"/>
      <w:marRight w:val="0"/>
      <w:marTop w:val="0"/>
      <w:marBottom w:val="0"/>
      <w:divBdr>
        <w:top w:val="none" w:sz="0" w:space="0" w:color="auto"/>
        <w:left w:val="none" w:sz="0" w:space="0" w:color="auto"/>
        <w:bottom w:val="none" w:sz="0" w:space="0" w:color="auto"/>
        <w:right w:val="none" w:sz="0" w:space="0" w:color="auto"/>
      </w:divBdr>
    </w:div>
    <w:div w:id="672411412">
      <w:bodyDiv w:val="1"/>
      <w:marLeft w:val="0"/>
      <w:marRight w:val="0"/>
      <w:marTop w:val="0"/>
      <w:marBottom w:val="0"/>
      <w:divBdr>
        <w:top w:val="none" w:sz="0" w:space="0" w:color="auto"/>
        <w:left w:val="none" w:sz="0" w:space="0" w:color="auto"/>
        <w:bottom w:val="none" w:sz="0" w:space="0" w:color="auto"/>
        <w:right w:val="none" w:sz="0" w:space="0" w:color="auto"/>
      </w:divBdr>
    </w:div>
    <w:div w:id="793717251">
      <w:bodyDiv w:val="1"/>
      <w:marLeft w:val="0"/>
      <w:marRight w:val="0"/>
      <w:marTop w:val="0"/>
      <w:marBottom w:val="0"/>
      <w:divBdr>
        <w:top w:val="none" w:sz="0" w:space="0" w:color="auto"/>
        <w:left w:val="none" w:sz="0" w:space="0" w:color="auto"/>
        <w:bottom w:val="none" w:sz="0" w:space="0" w:color="auto"/>
        <w:right w:val="none" w:sz="0" w:space="0" w:color="auto"/>
      </w:divBdr>
    </w:div>
    <w:div w:id="1043942340">
      <w:bodyDiv w:val="1"/>
      <w:marLeft w:val="0"/>
      <w:marRight w:val="0"/>
      <w:marTop w:val="0"/>
      <w:marBottom w:val="0"/>
      <w:divBdr>
        <w:top w:val="none" w:sz="0" w:space="0" w:color="auto"/>
        <w:left w:val="none" w:sz="0" w:space="0" w:color="auto"/>
        <w:bottom w:val="none" w:sz="0" w:space="0" w:color="auto"/>
        <w:right w:val="none" w:sz="0" w:space="0" w:color="auto"/>
      </w:divBdr>
    </w:div>
    <w:div w:id="1879974417">
      <w:bodyDiv w:val="1"/>
      <w:marLeft w:val="0"/>
      <w:marRight w:val="0"/>
      <w:marTop w:val="0"/>
      <w:marBottom w:val="0"/>
      <w:divBdr>
        <w:top w:val="none" w:sz="0" w:space="0" w:color="auto"/>
        <w:left w:val="none" w:sz="0" w:space="0" w:color="auto"/>
        <w:bottom w:val="none" w:sz="0" w:space="0" w:color="auto"/>
        <w:right w:val="none" w:sz="0" w:space="0" w:color="auto"/>
      </w:divBdr>
    </w:div>
    <w:div w:id="1919633406">
      <w:bodyDiv w:val="1"/>
      <w:marLeft w:val="0"/>
      <w:marRight w:val="0"/>
      <w:marTop w:val="0"/>
      <w:marBottom w:val="0"/>
      <w:divBdr>
        <w:top w:val="none" w:sz="0" w:space="0" w:color="auto"/>
        <w:left w:val="none" w:sz="0" w:space="0" w:color="auto"/>
        <w:bottom w:val="none" w:sz="0" w:space="0" w:color="auto"/>
        <w:right w:val="none" w:sz="0" w:space="0" w:color="auto"/>
      </w:divBdr>
    </w:div>
    <w:div w:id="1937783880">
      <w:bodyDiv w:val="1"/>
      <w:marLeft w:val="0"/>
      <w:marRight w:val="0"/>
      <w:marTop w:val="0"/>
      <w:marBottom w:val="0"/>
      <w:divBdr>
        <w:top w:val="none" w:sz="0" w:space="0" w:color="auto"/>
        <w:left w:val="none" w:sz="0" w:space="0" w:color="auto"/>
        <w:bottom w:val="none" w:sz="0" w:space="0" w:color="auto"/>
        <w:right w:val="none" w:sz="0" w:space="0" w:color="auto"/>
      </w:divBdr>
    </w:div>
    <w:div w:id="19410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9A304997C5934C9D146FB675C567BD" ma:contentTypeVersion="19" ma:contentTypeDescription="Create a new document." ma:contentTypeScope="" ma:versionID="983c6a8cf786febc512d41c43f269b84">
  <xsd:schema xmlns:xsd="http://www.w3.org/2001/XMLSchema" xmlns:xs="http://www.w3.org/2001/XMLSchema" xmlns:p="http://schemas.microsoft.com/office/2006/metadata/properties" xmlns:ns2="7c65153a-1e1c-4239-8a00-0b32fea8793f" xmlns:ns3="57c981d3-d567-4661-bd5a-748cc0a44e06" targetNamespace="http://schemas.microsoft.com/office/2006/metadata/properties" ma:root="true" ma:fieldsID="0d7734177f14b0e52aa845b16671eb8c" ns2:_="" ns3:_="">
    <xsd:import namespace="7c65153a-1e1c-4239-8a00-0b32fea8793f"/>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5153a-1e1c-4239-8a00-0b32fea87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fb8465-7f26-4a2f-902d-7425c8674f4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c981d3-d567-4661-bd5a-748cc0a44e06" xsi:nil="true"/>
    <lcf76f155ced4ddcb4097134ff3c332f xmlns="7c65153a-1e1c-4239-8a00-0b32fea879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121D8A-9D00-4F6C-9FF9-BD264EE73791}">
  <ds:schemaRefs>
    <ds:schemaRef ds:uri="http://schemas.microsoft.com/sharepoint/v3/contenttype/forms"/>
  </ds:schemaRefs>
</ds:datastoreItem>
</file>

<file path=customXml/itemProps2.xml><?xml version="1.0" encoding="utf-8"?>
<ds:datastoreItem xmlns:ds="http://schemas.openxmlformats.org/officeDocument/2006/customXml" ds:itemID="{E7C40B06-A058-4142-93CF-A30F0F2DD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5153a-1e1c-4239-8a00-0b32fea8793f"/>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26516-EDCA-4970-9DA0-4532F9CC2482}">
  <ds:schemaRefs>
    <ds:schemaRef ds:uri="http://schemas.microsoft.com/office/2006/metadata/properties"/>
    <ds:schemaRef ds:uri="http://schemas.microsoft.com/office/infopath/2007/PartnerControls"/>
    <ds:schemaRef ds:uri="57c981d3-d567-4661-bd5a-748cc0a44e06"/>
    <ds:schemaRef ds:uri="7c65153a-1e1c-4239-8a00-0b32fea8793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720</Words>
  <Characters>4105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Sefton FF Newsletter - Workforce July 2025</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FF Newsletter - Workforce July 2025</dc:title>
  <dc:subject/>
  <dc:creator>Helen Eccles</dc:creator>
  <cp:keywords/>
  <dc:description/>
  <cp:lastModifiedBy>Bridie Finnan</cp:lastModifiedBy>
  <cp:revision>2</cp:revision>
  <dcterms:created xsi:type="dcterms:W3CDTF">2025-07-18T13:57:00Z</dcterms:created>
  <dcterms:modified xsi:type="dcterms:W3CDTF">2025-07-18T13:57:00Z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0x010100AD9A304997C5934C9D146FB675C567BD</vt:lpwstr>
  </property>
  <property fmtid="{D5CDD505-2E9C-101B-9397-08002B2CF9AE}" pid="3" name="MediaServiceImageTags">
    <vt:lpwstr/>
  </property>
</Properties>
</file>